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00D70846">
        <w:rPr>
          <w:rFonts w:ascii="Times New Roman" w:hAnsi="Times New Roman"/>
          <w:color w:val="00548C"/>
          <w:sz w:val="36"/>
        </w:rPr>
        <w:t>Fixed Wing Air Transportation</w:t>
      </w:r>
    </w:p>
    <w:p w:rsidR="00B777AF" w:rsidRDefault="00B777AF" w:rsidP="00D574CA">
      <w:pPr>
        <w:pStyle w:val="PolicyMainHead"/>
        <w:tabs>
          <w:tab w:val="left" w:pos="360"/>
        </w:tabs>
        <w:spacing w:after="0" w:line="240" w:lineRule="auto"/>
        <w:rPr>
          <w:color w:val="00548C"/>
          <w:sz w:val="24"/>
        </w:rPr>
        <w:sectPr w:rsidR="00B777AF" w:rsidSect="00CB63DD">
          <w:headerReference w:type="default" r:id="rId7"/>
          <w:footerReference w:type="default" r:id="rId8"/>
          <w:headerReference w:type="first" r:id="rId9"/>
          <w:footerReference w:type="first" r:id="rId10"/>
          <w:pgSz w:w="12240" w:h="15840" w:code="1"/>
          <w:pgMar w:top="1440" w:right="907" w:bottom="1152" w:left="1440" w:header="576" w:footer="288" w:gutter="0"/>
          <w:cols w:space="720"/>
          <w:titlePg/>
          <w:docGrid w:linePitch="360"/>
        </w:sectPr>
      </w:pPr>
    </w:p>
    <w:p w:rsidR="00480C09" w:rsidRPr="003D7BE7" w:rsidRDefault="00D574CA" w:rsidP="00CB63DD">
      <w:pPr>
        <w:pStyle w:val="PolicyMainHead"/>
        <w:spacing w:after="0" w:line="240" w:lineRule="auto"/>
        <w:rPr>
          <w:rFonts w:ascii="Times New Roman" w:hAnsi="Times New Roman"/>
          <w:color w:val="00548C"/>
          <w:sz w:val="24"/>
          <w:szCs w:val="24"/>
        </w:rPr>
        <w:sectPr w:rsidR="00480C09" w:rsidRPr="003D7BE7" w:rsidSect="00CB63DD">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795AF4">
        <w:rPr>
          <w:rFonts w:ascii="Times New Roman" w:hAnsi="Times New Roman"/>
          <w:color w:val="00548C"/>
          <w:sz w:val="24"/>
          <w:szCs w:val="24"/>
        </w:rPr>
        <w:t>175</w:t>
      </w:r>
      <w:r w:rsidR="00CB63DD">
        <w:rPr>
          <w:rFonts w:ascii="Times New Roman" w:hAnsi="Times New Roman"/>
          <w:color w:val="00548C"/>
          <w:sz w:val="24"/>
          <w:szCs w:val="24"/>
        </w:rPr>
        <w:tab/>
      </w:r>
      <w:r w:rsidR="00CB63DD">
        <w:rPr>
          <w:rFonts w:ascii="Times New Roman" w:hAnsi="Times New Roman"/>
          <w:color w:val="00548C"/>
          <w:sz w:val="24"/>
          <w:szCs w:val="24"/>
        </w:rPr>
        <w:tab/>
        <w:t xml:space="preserve">  </w:t>
      </w:r>
      <w:r w:rsidR="00CB63DD">
        <w:rPr>
          <w:rFonts w:ascii="Times New Roman" w:hAnsi="Times New Roman"/>
          <w:color w:val="00548C"/>
          <w:sz w:val="24"/>
          <w:szCs w:val="24"/>
        </w:rPr>
        <w:tab/>
      </w:r>
      <w:r w:rsidR="00480C09" w:rsidRPr="003D7BE7">
        <w:rPr>
          <w:rFonts w:ascii="Times New Roman" w:hAnsi="Times New Roman"/>
          <w:color w:val="00548C"/>
          <w:sz w:val="24"/>
          <w:szCs w:val="24"/>
        </w:rPr>
        <w:tab/>
      </w:r>
      <w:r w:rsidR="00CB63DD">
        <w:rPr>
          <w:rFonts w:ascii="Times New Roman" w:hAnsi="Times New Roman"/>
          <w:color w:val="00548C"/>
          <w:sz w:val="24"/>
          <w:szCs w:val="24"/>
        </w:rPr>
        <w:tab/>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rsidR="00875924" w:rsidRDefault="00D574CA" w:rsidP="00CB63DD">
      <w:pPr>
        <w:pStyle w:val="PolicyMainHead"/>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795AF4">
        <w:rPr>
          <w:rFonts w:ascii="Times New Roman" w:hAnsi="Times New Roman"/>
          <w:color w:val="00548C"/>
          <w:sz w:val="24"/>
          <w:szCs w:val="24"/>
        </w:rPr>
        <w:t>04/19</w:t>
      </w:r>
    </w:p>
    <w:p w:rsidR="00875924" w:rsidRDefault="00166AC3"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CB63DD">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rsidR="00E67CB6" w:rsidRDefault="00E67CB6">
      <w:pPr>
        <w:pStyle w:val="Heading2"/>
        <w:rPr>
          <w:u w:val="none"/>
        </w:rPr>
      </w:pPr>
    </w:p>
    <w:p w:rsidR="00583376" w:rsidRPr="00B777AF" w:rsidRDefault="00583376">
      <w:pPr>
        <w:pStyle w:val="Heading2"/>
        <w:rPr>
          <w:u w:val="none"/>
        </w:rPr>
      </w:pPr>
      <w:r w:rsidRPr="00B777AF">
        <w:rPr>
          <w:u w:val="none"/>
        </w:rPr>
        <w:t xml:space="preserve">Description </w:t>
      </w:r>
    </w:p>
    <w:p w:rsidR="00ED0A0D" w:rsidRDefault="006B7840" w:rsidP="00196935">
      <w:r w:rsidRPr="006B7840">
        <w:t>There are two categories of air ambulance services: fixed wing (airplane) and rotary wing (helicopter) aircraft</w:t>
      </w:r>
      <w:r>
        <w:t>.</w:t>
      </w:r>
      <w:r w:rsidR="0070365C">
        <w:t xml:space="preserve">  </w:t>
      </w:r>
      <w:r w:rsidR="00337376" w:rsidRPr="00337376">
        <w:t xml:space="preserve">Fixed wing (FW) or rotary wing (RW) air ambulance </w:t>
      </w:r>
      <w:r w:rsidR="00337376">
        <w:t>are</w:t>
      </w:r>
      <w:r w:rsidR="00337376" w:rsidRPr="00337376">
        <w:t xml:space="preserve"> furnished when the medical condition is such that transport by ground ambulance, in whole or in part, is not appropriate</w:t>
      </w:r>
      <w:r w:rsidR="00D70846">
        <w:t>.</w:t>
      </w:r>
      <w:r w:rsidR="00337376" w:rsidRPr="00337376">
        <w:t xml:space="preserve">  </w:t>
      </w:r>
      <w:r w:rsidR="0070365C" w:rsidRPr="0070365C">
        <w:t xml:space="preserve">This policy </w:t>
      </w:r>
      <w:r w:rsidR="0070365C">
        <w:t xml:space="preserve">describes </w:t>
      </w:r>
      <w:r w:rsidR="0070365C" w:rsidRPr="0070365C">
        <w:t>medical necessity criteria for</w:t>
      </w:r>
      <w:r w:rsidR="0070365C">
        <w:t xml:space="preserve"> </w:t>
      </w:r>
      <w:r w:rsidR="00000766">
        <w:t xml:space="preserve">fixed wing </w:t>
      </w:r>
      <w:r w:rsidR="0070365C">
        <w:t>air ambulance</w:t>
      </w:r>
      <w:r w:rsidR="00D70846">
        <w:t xml:space="preserve"> transportation</w:t>
      </w:r>
      <w:r w:rsidR="0070365C">
        <w:t>.</w:t>
      </w:r>
    </w:p>
    <w:p w:rsidR="005D7B81" w:rsidRPr="00B777AF" w:rsidRDefault="005D7B81" w:rsidP="00196935"/>
    <w:p w:rsidR="00583376" w:rsidRPr="00B777AF" w:rsidRDefault="00583376">
      <w:pPr>
        <w:pStyle w:val="Heading2"/>
        <w:rPr>
          <w:u w:val="none"/>
        </w:rPr>
      </w:pPr>
      <w:r w:rsidRPr="00B777AF">
        <w:rPr>
          <w:u w:val="none"/>
        </w:rPr>
        <w:t>Policy/Criteria</w:t>
      </w:r>
    </w:p>
    <w:p w:rsidR="00EF1EAA" w:rsidRDefault="00F74762" w:rsidP="00C96847">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rsidRPr="00E34609">
        <w:t xml:space="preserve">that </w:t>
      </w:r>
      <w:r w:rsidR="00000766" w:rsidRPr="00000766">
        <w:rPr>
          <w:i/>
        </w:rPr>
        <w:t>fixed wing</w:t>
      </w:r>
      <w:r w:rsidR="00000766">
        <w:t xml:space="preserve"> </w:t>
      </w:r>
      <w:r w:rsidR="00F15DC2" w:rsidRPr="00F15DC2">
        <w:rPr>
          <w:i/>
        </w:rPr>
        <w:t>air ambulance</w:t>
      </w:r>
      <w:r w:rsidR="00F15DC2">
        <w:t xml:space="preserve"> </w:t>
      </w:r>
      <w:r w:rsidR="00817D89" w:rsidRPr="00817D89">
        <w:rPr>
          <w:i/>
        </w:rPr>
        <w:t>transportation</w:t>
      </w:r>
      <w:r w:rsidR="00817D89">
        <w:t xml:space="preserve"> </w:t>
      </w:r>
      <w:r w:rsidR="00C96847">
        <w:t xml:space="preserve">is </w:t>
      </w:r>
      <w:r w:rsidR="00C96847" w:rsidRPr="005D6347">
        <w:rPr>
          <w:b/>
        </w:rPr>
        <w:t>medically necessary</w:t>
      </w:r>
      <w:r w:rsidR="00C96847">
        <w:t xml:space="preserve"> </w:t>
      </w:r>
      <w:r w:rsidR="00EF1EAA">
        <w:t xml:space="preserve">when all the following criteria </w:t>
      </w:r>
      <w:r w:rsidR="00000766">
        <w:t>are</w:t>
      </w:r>
      <w:r w:rsidR="00EF1EAA">
        <w:t xml:space="preserve"> met:</w:t>
      </w:r>
    </w:p>
    <w:p w:rsidR="00000766" w:rsidRDefault="00000766" w:rsidP="00000766">
      <w:pPr>
        <w:pStyle w:val="ListParagraph"/>
        <w:numPr>
          <w:ilvl w:val="0"/>
          <w:numId w:val="28"/>
        </w:numPr>
        <w:ind w:left="720"/>
      </w:pPr>
      <w:r>
        <w:t>T</w:t>
      </w:r>
      <w:r w:rsidR="00FF156E">
        <w:t xml:space="preserve">ransport </w:t>
      </w:r>
      <w:r>
        <w:t xml:space="preserve">is </w:t>
      </w:r>
      <w:r w:rsidR="00FF156E">
        <w:t xml:space="preserve">from one </w:t>
      </w:r>
      <w:r w:rsidR="00345712">
        <w:t>facility</w:t>
      </w:r>
      <w:r w:rsidR="00345712" w:rsidRPr="00FF156E">
        <w:t xml:space="preserve"> </w:t>
      </w:r>
      <w:r w:rsidR="00FF156E" w:rsidRPr="00FF156E">
        <w:t xml:space="preserve">to </w:t>
      </w:r>
      <w:r w:rsidR="00717B75">
        <w:t>another</w:t>
      </w:r>
      <w:r w:rsidR="00FF156E" w:rsidRPr="00FF156E">
        <w:t xml:space="preserve"> </w:t>
      </w:r>
      <w:r w:rsidR="00345712">
        <w:t>facility</w:t>
      </w:r>
      <w:r w:rsidR="00FF156E" w:rsidRPr="00FF156E">
        <w:t xml:space="preserve">, </w:t>
      </w:r>
      <w:r>
        <w:t xml:space="preserve">when </w:t>
      </w:r>
      <w:r w:rsidR="00FF156E" w:rsidRPr="00FF156E">
        <w:t xml:space="preserve">the transferring </w:t>
      </w:r>
      <w:r w:rsidR="00345712">
        <w:t>facility</w:t>
      </w:r>
      <w:r w:rsidR="00FF156E" w:rsidRPr="00FF156E">
        <w:t xml:space="preserve"> does not have the appropriate </w:t>
      </w:r>
      <w:r w:rsidR="00345712">
        <w:t>services</w:t>
      </w:r>
      <w:r w:rsidR="00FF156E" w:rsidRPr="00FF156E">
        <w:t xml:space="preserve"> </w:t>
      </w:r>
      <w:r w:rsidR="00F429FD" w:rsidRPr="00F429FD">
        <w:t>and physician specialist</w:t>
      </w:r>
      <w:r w:rsidR="00F429FD">
        <w:t xml:space="preserve">s </w:t>
      </w:r>
      <w:r w:rsidR="00FF156E" w:rsidRPr="00FF156E">
        <w:t xml:space="preserve">to provide the </w:t>
      </w:r>
      <w:r w:rsidR="00337376">
        <w:t xml:space="preserve">necessary </w:t>
      </w:r>
      <w:r w:rsidR="00FF156E" w:rsidRPr="00FF156E">
        <w:t xml:space="preserve">medical </w:t>
      </w:r>
      <w:r w:rsidR="00345712">
        <w:t>care</w:t>
      </w:r>
      <w:r w:rsidR="00345712" w:rsidRPr="00FF156E">
        <w:t xml:space="preserve"> </w:t>
      </w:r>
      <w:r w:rsidR="00FF156E" w:rsidRPr="00FF156E">
        <w:t>(</w:t>
      </w:r>
      <w:r w:rsidR="001549BD">
        <w:t xml:space="preserve">e.g., </w:t>
      </w:r>
      <w:r w:rsidR="00FF156E" w:rsidRPr="00FF156E">
        <w:t>trauma unit, burn unit, cardiac care unit, or pediatric specialty services</w:t>
      </w:r>
      <w:r w:rsidR="008A10F2">
        <w:t>)</w:t>
      </w:r>
      <w:r w:rsidR="00872846">
        <w:t>;</w:t>
      </w:r>
      <w:r w:rsidR="008A10F2">
        <w:t xml:space="preserve"> </w:t>
      </w:r>
    </w:p>
    <w:p w:rsidR="00004102" w:rsidRDefault="00000766" w:rsidP="00000766">
      <w:pPr>
        <w:pStyle w:val="ListParagraph"/>
        <w:numPr>
          <w:ilvl w:val="0"/>
          <w:numId w:val="28"/>
        </w:numPr>
        <w:ind w:left="720"/>
      </w:pPr>
      <w:r>
        <w:t>T</w:t>
      </w:r>
      <w:r w:rsidR="00423592">
        <w:t xml:space="preserve">ransport by </w:t>
      </w:r>
      <w:r>
        <w:t xml:space="preserve">either basic or advanced life support </w:t>
      </w:r>
      <w:r w:rsidR="008A10F2">
        <w:t xml:space="preserve">ground ambulance would endanger </w:t>
      </w:r>
      <w:r>
        <w:t xml:space="preserve">the </w:t>
      </w:r>
      <w:r w:rsidR="008A10F2">
        <w:t>health</w:t>
      </w:r>
      <w:r w:rsidR="0046116C">
        <w:t xml:space="preserve"> or threaten survival</w:t>
      </w:r>
      <w:r>
        <w:t xml:space="preserve"> of the member</w:t>
      </w:r>
      <w:r w:rsidR="00004102">
        <w:t>;</w:t>
      </w:r>
    </w:p>
    <w:p w:rsidR="00CE5CFA" w:rsidRDefault="00004102" w:rsidP="00004102">
      <w:pPr>
        <w:pStyle w:val="ListParagraph"/>
        <w:numPr>
          <w:ilvl w:val="0"/>
          <w:numId w:val="28"/>
        </w:numPr>
        <w:ind w:left="720"/>
      </w:pPr>
      <w:r w:rsidRPr="00004102">
        <w:t>Transport distance exceeds the operational capability of rotary wing aircraft</w:t>
      </w:r>
      <w:r w:rsidR="00000766">
        <w:t>.</w:t>
      </w:r>
      <w:r w:rsidR="008A10F2">
        <w:t xml:space="preserve"> </w:t>
      </w:r>
    </w:p>
    <w:p w:rsidR="00872846" w:rsidRDefault="00872846" w:rsidP="00872846"/>
    <w:p w:rsidR="00FB0592" w:rsidRDefault="00FB0592" w:rsidP="00FB0592">
      <w:pPr>
        <w:pStyle w:val="Heading2"/>
        <w:rPr>
          <w:u w:val="none"/>
        </w:rPr>
      </w:pPr>
      <w:r w:rsidRPr="00B777AF">
        <w:rPr>
          <w:u w:val="none"/>
        </w:rPr>
        <w:t>Background</w:t>
      </w:r>
    </w:p>
    <w:p w:rsidR="003F3D44" w:rsidRDefault="00EE7207" w:rsidP="00F429FD">
      <w:r>
        <w:t>Air ambulances are used to expeditiously transport critically ill patients during life-threatening</w:t>
      </w:r>
      <w:r w:rsidR="009F1A47">
        <w:t xml:space="preserve"> </w:t>
      </w:r>
      <w:r w:rsidR="00CE7CBE">
        <w:t>e</w:t>
      </w:r>
      <w:r>
        <w:t>mergencies</w:t>
      </w:r>
      <w:r w:rsidR="0012475C">
        <w:t xml:space="preserve"> when </w:t>
      </w:r>
      <w:r w:rsidR="00F96C93" w:rsidRPr="00F96C93">
        <w:t xml:space="preserve">either great distances or other obstacles, e.g., heavy traffic, preclude such rapid delivery to the nearest appropriate facility. Transport by air ambulance may also be necessary </w:t>
      </w:r>
      <w:r w:rsidR="0012475C">
        <w:t xml:space="preserve">when </w:t>
      </w:r>
      <w:r w:rsidR="00F96C93" w:rsidRPr="00F96C93">
        <w:t>accessib</w:t>
      </w:r>
      <w:r w:rsidR="0012475C">
        <w:t xml:space="preserve">ility </w:t>
      </w:r>
      <w:r w:rsidR="00F96C93" w:rsidRPr="00F96C93">
        <w:t xml:space="preserve">by a ground ambulance </w:t>
      </w:r>
      <w:r w:rsidR="0012475C">
        <w:t>is not possible.</w:t>
      </w:r>
      <w:r w:rsidR="002D6F5D">
        <w:t xml:space="preserve">  </w:t>
      </w:r>
      <w:r w:rsidR="002D6F5D" w:rsidRPr="002D6F5D">
        <w:t>Air ambulance transportation is widely regarded as having a beneficial impact on improving the chances of survival and recovery for trauma victims and other critical patients, particularly in rural areas that lack readily accessible advanced-care facilities such as trauma or burn centers.</w:t>
      </w:r>
    </w:p>
    <w:p w:rsidR="00A76FED" w:rsidRDefault="00A76FED" w:rsidP="00F429FD"/>
    <w:p w:rsidR="00D56543" w:rsidRPr="00D56543" w:rsidRDefault="002F0753">
      <w:pPr>
        <w:rPr>
          <w:bCs/>
        </w:rPr>
      </w:pPr>
      <w:r>
        <w:rPr>
          <w:bCs/>
        </w:rPr>
        <w:t xml:space="preserve">Rotary wing transport is </w:t>
      </w:r>
      <w:r w:rsidRPr="002F0753">
        <w:rPr>
          <w:bCs/>
        </w:rPr>
        <w:t>ideal for transporting critical trauma patients</w:t>
      </w:r>
      <w:r>
        <w:rPr>
          <w:bCs/>
        </w:rPr>
        <w:t xml:space="preserve"> from the scene as they have the ability to </w:t>
      </w:r>
      <w:r w:rsidRPr="002F0753">
        <w:rPr>
          <w:bCs/>
        </w:rPr>
        <w:t>land close to the scene of the incident</w:t>
      </w:r>
      <w:r>
        <w:rPr>
          <w:bCs/>
        </w:rPr>
        <w:t xml:space="preserve">.  They can also be </w:t>
      </w:r>
      <w:r w:rsidRPr="002F0753">
        <w:rPr>
          <w:bCs/>
        </w:rPr>
        <w:t xml:space="preserve">utilized </w:t>
      </w:r>
      <w:r w:rsidR="005F3F23" w:rsidRPr="005F3F23">
        <w:rPr>
          <w:bCs/>
        </w:rPr>
        <w:t>for emergent facility-to-facility transport</w:t>
      </w:r>
      <w:r w:rsidR="00D52D04">
        <w:rPr>
          <w:bCs/>
        </w:rPr>
        <w:t>, however, fuel capacity gives them a relatively short range.</w:t>
      </w:r>
      <w:r w:rsidRPr="002F0753">
        <w:rPr>
          <w:bCs/>
        </w:rPr>
        <w:t xml:space="preserve"> The fixed wing aircraft is generally used for emergent facility-to-facility transports </w:t>
      </w:r>
      <w:r w:rsidR="005F3F23">
        <w:rPr>
          <w:bCs/>
        </w:rPr>
        <w:t xml:space="preserve">when a </w:t>
      </w:r>
      <w:r w:rsidRPr="002F0753">
        <w:rPr>
          <w:bCs/>
        </w:rPr>
        <w:t>patient must be transported a long distance</w:t>
      </w:r>
      <w:r w:rsidR="00263BBC">
        <w:rPr>
          <w:bCs/>
        </w:rPr>
        <w:t xml:space="preserve">.  They have the </w:t>
      </w:r>
      <w:r w:rsidR="00263BBC" w:rsidRPr="00263BBC">
        <w:rPr>
          <w:bCs/>
        </w:rPr>
        <w:t>ability to travel at much</w:t>
      </w:r>
      <w:r w:rsidR="00263BBC">
        <w:rPr>
          <w:bCs/>
        </w:rPr>
        <w:t xml:space="preserve"> faster speeds then helicopters, </w:t>
      </w:r>
      <w:r w:rsidR="002C28C1" w:rsidRPr="002C28C1">
        <w:rPr>
          <w:bCs/>
        </w:rPr>
        <w:t>with ranges over 500 miles at speeds between 200 to 300 mph</w:t>
      </w:r>
      <w:r w:rsidR="002C28C1">
        <w:rPr>
          <w:bCs/>
        </w:rPr>
        <w:t xml:space="preserve">.  </w:t>
      </w:r>
      <w:r w:rsidR="002C28C1" w:rsidRPr="002C28C1">
        <w:rPr>
          <w:bCs/>
        </w:rPr>
        <w:t>Runway requirements for takeoff and landing restrict airplanes, and the patient will usually need one or more transfers involving a ground unit to move them to/from the runway/airport</w:t>
      </w:r>
      <w:r w:rsidR="0094710B">
        <w:rPr>
          <w:bCs/>
        </w:rPr>
        <w:t xml:space="preserve">. </w:t>
      </w:r>
      <w:r w:rsidR="00937054">
        <w:rPr>
          <w:bCs/>
        </w:rPr>
        <w:t xml:space="preserve"> Fixed wing aircraft </w:t>
      </w:r>
      <w:r w:rsidR="0094710B" w:rsidRPr="0094710B">
        <w:rPr>
          <w:bCs/>
        </w:rPr>
        <w:t>provide</w:t>
      </w:r>
      <w:r w:rsidR="00937054">
        <w:rPr>
          <w:bCs/>
        </w:rPr>
        <w:t>s</w:t>
      </w:r>
      <w:r w:rsidR="0094710B" w:rsidRPr="0094710B">
        <w:rPr>
          <w:bCs/>
        </w:rPr>
        <w:t xml:space="preserve"> a transparent hospital-like environment with cardiac monitoring, invasive hemodynamic monitoring, infusion </w:t>
      </w:r>
      <w:r w:rsidR="0094710B">
        <w:rPr>
          <w:bCs/>
        </w:rPr>
        <w:t>therapy,</w:t>
      </w:r>
      <w:r w:rsidR="0094710B" w:rsidRPr="0094710B">
        <w:rPr>
          <w:bCs/>
        </w:rPr>
        <w:t xml:space="preserve"> pulse oximetry, emergency medication, defibrillation with pacing capabilities, and advanced airway managemen</w:t>
      </w:r>
      <w:r w:rsidR="0094710B">
        <w:rPr>
          <w:bCs/>
        </w:rPr>
        <w:t>t capabilities</w:t>
      </w:r>
      <w:r w:rsidR="00937054">
        <w:rPr>
          <w:bCs/>
        </w:rPr>
        <w:t xml:space="preserve"> and is </w:t>
      </w:r>
      <w:r w:rsidR="00937054" w:rsidRPr="00937054">
        <w:rPr>
          <w:bCs/>
        </w:rPr>
        <w:t>staffed with a flight crew specially trained to provide emergency and critical care medical support.</w:t>
      </w:r>
    </w:p>
    <w:p w:rsidR="009F1A47" w:rsidRDefault="009F1A47" w:rsidP="00170B14">
      <w:pPr>
        <w:rPr>
          <w:b/>
        </w:rPr>
      </w:pPr>
      <w:bookmarkStart w:id="0" w:name="Coding_Implications"/>
    </w:p>
    <w:p w:rsidR="00170B14" w:rsidRPr="00B777AF" w:rsidRDefault="00170B14" w:rsidP="00170B14">
      <w:pPr>
        <w:rPr>
          <w:b/>
        </w:rPr>
      </w:pPr>
      <w:r w:rsidRPr="00B777AF">
        <w:rPr>
          <w:b/>
        </w:rPr>
        <w:lastRenderedPageBreak/>
        <w:t>Coding Implications</w:t>
      </w:r>
    </w:p>
    <w:bookmarkEnd w:id="0"/>
    <w:p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E67CB6">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rsidR="00AF5490" w:rsidRPr="00A85489" w:rsidRDefault="00AF5490" w:rsidP="00AF5490"/>
    <w:tbl>
      <w:tblPr>
        <w:tblStyle w:val="TableGrid"/>
        <w:tblW w:w="4772" w:type="pct"/>
        <w:tblLook w:val="0020" w:firstRow="1" w:lastRow="0" w:firstColumn="0" w:lastColumn="0" w:noHBand="0" w:noVBand="0"/>
      </w:tblPr>
      <w:tblGrid>
        <w:gridCol w:w="1109"/>
        <w:gridCol w:w="7815"/>
      </w:tblGrid>
      <w:tr w:rsidR="00B777AF" w:rsidRPr="00B777AF" w:rsidTr="00B92DF1">
        <w:trPr>
          <w:tblHeader/>
        </w:trPr>
        <w:tc>
          <w:tcPr>
            <w:tcW w:w="1138" w:type="dxa"/>
            <w:shd w:val="clear" w:color="auto" w:fill="00548C"/>
          </w:tcPr>
          <w:p w:rsidR="00D36448" w:rsidRPr="00B777AF" w:rsidRDefault="00D36448" w:rsidP="00C10DF0">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8510" w:type="dxa"/>
            <w:shd w:val="clear" w:color="auto" w:fill="00548C"/>
          </w:tcPr>
          <w:p w:rsidR="00D36448" w:rsidRPr="00B777AF" w:rsidRDefault="00D36448" w:rsidP="00C10DF0">
            <w:pPr>
              <w:rPr>
                <w:b/>
                <w:bCs/>
                <w:color w:val="FFFFFF" w:themeColor="background1"/>
              </w:rPr>
            </w:pPr>
            <w:r w:rsidRPr="00B777AF">
              <w:rPr>
                <w:b/>
                <w:color w:val="FFFFFF" w:themeColor="background1"/>
              </w:rPr>
              <w:t>Description</w:t>
            </w:r>
          </w:p>
        </w:tc>
      </w:tr>
      <w:tr w:rsidR="00D36448" w:rsidRPr="005144C0" w:rsidTr="00480C09">
        <w:tc>
          <w:tcPr>
            <w:tcW w:w="1138" w:type="dxa"/>
          </w:tcPr>
          <w:p w:rsidR="00D36448" w:rsidRPr="005144C0" w:rsidRDefault="00D90560" w:rsidP="00C10DF0">
            <w:pPr>
              <w:rPr>
                <w:bCs/>
              </w:rPr>
            </w:pPr>
            <w:r>
              <w:rPr>
                <w:bCs/>
              </w:rPr>
              <w:t>N/A</w:t>
            </w:r>
          </w:p>
        </w:tc>
        <w:tc>
          <w:tcPr>
            <w:tcW w:w="8510" w:type="dxa"/>
          </w:tcPr>
          <w:p w:rsidR="00D36448" w:rsidRPr="005144C0" w:rsidRDefault="00D36448" w:rsidP="00C10DF0">
            <w:pPr>
              <w:rPr>
                <w:bCs/>
              </w:rPr>
            </w:pPr>
          </w:p>
        </w:tc>
      </w:tr>
    </w:tbl>
    <w:p w:rsidR="00AF5490" w:rsidRDefault="00AF5490" w:rsidP="00AF5490"/>
    <w:tbl>
      <w:tblPr>
        <w:tblStyle w:val="TableGrid"/>
        <w:tblW w:w="4772" w:type="pct"/>
        <w:tblLook w:val="0020" w:firstRow="1" w:lastRow="0" w:firstColumn="0" w:lastColumn="0" w:noHBand="0" w:noVBand="0"/>
      </w:tblPr>
      <w:tblGrid>
        <w:gridCol w:w="1127"/>
        <w:gridCol w:w="7797"/>
      </w:tblGrid>
      <w:tr w:rsidR="003F3D44" w:rsidRPr="00B777AF" w:rsidTr="00000766">
        <w:trPr>
          <w:tblHeader/>
        </w:trPr>
        <w:tc>
          <w:tcPr>
            <w:tcW w:w="1127" w:type="dxa"/>
            <w:shd w:val="clear" w:color="auto" w:fill="00548C"/>
          </w:tcPr>
          <w:p w:rsidR="003F3D44" w:rsidRPr="00B777AF" w:rsidRDefault="003F3D44" w:rsidP="00556CBA">
            <w:pPr>
              <w:rPr>
                <w:b/>
                <w:bCs/>
                <w:color w:val="FFFFFF" w:themeColor="background1"/>
              </w:rPr>
            </w:pPr>
            <w:r>
              <w:rPr>
                <w:b/>
                <w:color w:val="FFFFFF" w:themeColor="background1"/>
              </w:rPr>
              <w:t>HCPCS</w:t>
            </w:r>
            <w:r w:rsidRPr="00B777AF">
              <w:rPr>
                <w:b/>
                <w:color w:val="FFFFFF" w:themeColor="background1"/>
              </w:rPr>
              <w:t xml:space="preserve"> Codes </w:t>
            </w:r>
          </w:p>
        </w:tc>
        <w:tc>
          <w:tcPr>
            <w:tcW w:w="7797" w:type="dxa"/>
            <w:shd w:val="clear" w:color="auto" w:fill="00548C"/>
          </w:tcPr>
          <w:p w:rsidR="003F3D44" w:rsidRPr="00B777AF" w:rsidRDefault="003F3D44" w:rsidP="00556CBA">
            <w:pPr>
              <w:rPr>
                <w:b/>
                <w:bCs/>
                <w:color w:val="FFFFFF" w:themeColor="background1"/>
              </w:rPr>
            </w:pPr>
            <w:r w:rsidRPr="00B777AF">
              <w:rPr>
                <w:b/>
                <w:color w:val="FFFFFF" w:themeColor="background1"/>
              </w:rPr>
              <w:t>Description</w:t>
            </w:r>
          </w:p>
        </w:tc>
      </w:tr>
      <w:tr w:rsidR="003F3D44" w:rsidRPr="005144C0" w:rsidTr="00000766">
        <w:tc>
          <w:tcPr>
            <w:tcW w:w="1127" w:type="dxa"/>
          </w:tcPr>
          <w:p w:rsidR="003F3D44" w:rsidRPr="005144C0" w:rsidRDefault="00795AF4" w:rsidP="00556CBA">
            <w:pPr>
              <w:rPr>
                <w:bCs/>
              </w:rPr>
            </w:pPr>
            <w:r>
              <w:rPr>
                <w:bCs/>
              </w:rPr>
              <w:t>A0430</w:t>
            </w:r>
          </w:p>
        </w:tc>
        <w:tc>
          <w:tcPr>
            <w:tcW w:w="7797" w:type="dxa"/>
          </w:tcPr>
          <w:p w:rsidR="003F3D44" w:rsidRPr="005144C0" w:rsidRDefault="001549BD" w:rsidP="00556CBA">
            <w:pPr>
              <w:rPr>
                <w:bCs/>
              </w:rPr>
            </w:pPr>
            <w:r w:rsidRPr="001549BD">
              <w:rPr>
                <w:bCs/>
              </w:rPr>
              <w:t>Ambulance service, conventional air services, transport, one way (fixed wing)</w:t>
            </w:r>
          </w:p>
        </w:tc>
      </w:tr>
      <w:tr w:rsidR="001549BD" w:rsidRPr="005144C0" w:rsidTr="00000766">
        <w:tc>
          <w:tcPr>
            <w:tcW w:w="1127" w:type="dxa"/>
          </w:tcPr>
          <w:p w:rsidR="001549BD" w:rsidRDefault="001549BD" w:rsidP="00556CBA">
            <w:pPr>
              <w:rPr>
                <w:bCs/>
              </w:rPr>
            </w:pPr>
            <w:r>
              <w:rPr>
                <w:bCs/>
              </w:rPr>
              <w:t>A0435</w:t>
            </w:r>
          </w:p>
        </w:tc>
        <w:tc>
          <w:tcPr>
            <w:tcW w:w="7797" w:type="dxa"/>
          </w:tcPr>
          <w:p w:rsidR="001549BD" w:rsidRPr="001549BD" w:rsidRDefault="001549BD" w:rsidP="00556CBA">
            <w:pPr>
              <w:rPr>
                <w:bCs/>
              </w:rPr>
            </w:pPr>
            <w:r w:rsidRPr="001549BD">
              <w:rPr>
                <w:bCs/>
              </w:rPr>
              <w:t>Fixed wing air mileage, per statute mile</w:t>
            </w:r>
          </w:p>
        </w:tc>
      </w:tr>
    </w:tbl>
    <w:p w:rsidR="003F3D44" w:rsidRDefault="003F3D44" w:rsidP="00AF5490"/>
    <w:p w:rsidR="00350F22" w:rsidRDefault="00350F22" w:rsidP="00AF5490">
      <w:pPr>
        <w:rPr>
          <w:b/>
        </w:rPr>
      </w:pPr>
      <w:r w:rsidRPr="00350F22">
        <w:rPr>
          <w:b/>
        </w:rPr>
        <w:t>ICD-10-CM Diagnosis Codes that Support Coverage Criteria</w:t>
      </w:r>
    </w:p>
    <w:p w:rsidR="004C7108" w:rsidRPr="004C7108" w:rsidRDefault="004C7108" w:rsidP="00AF5490">
      <w:r w:rsidRPr="004C7108">
        <w:t>+ Indicates a code requiring an additional character</w:t>
      </w:r>
    </w:p>
    <w:tbl>
      <w:tblPr>
        <w:tblStyle w:val="TableGrid"/>
        <w:tblW w:w="4772" w:type="pct"/>
        <w:tblLook w:val="0020" w:firstRow="1" w:lastRow="0" w:firstColumn="0" w:lastColumn="0" w:noHBand="0" w:noVBand="0"/>
      </w:tblPr>
      <w:tblGrid>
        <w:gridCol w:w="1611"/>
        <w:gridCol w:w="7313"/>
      </w:tblGrid>
      <w:tr w:rsidR="00350F22" w:rsidRPr="00B777AF" w:rsidTr="00F91367">
        <w:trPr>
          <w:tblHeader/>
        </w:trPr>
        <w:tc>
          <w:tcPr>
            <w:tcW w:w="1638" w:type="dxa"/>
            <w:shd w:val="clear" w:color="auto" w:fill="00548C"/>
          </w:tcPr>
          <w:p w:rsidR="00350F22" w:rsidRPr="00350F22" w:rsidRDefault="00350F22" w:rsidP="00350F22">
            <w:pPr>
              <w:rPr>
                <w:b/>
                <w:bCs/>
                <w:color w:val="FFFFFF"/>
              </w:rPr>
            </w:pPr>
            <w:r>
              <w:rPr>
                <w:b/>
                <w:color w:val="FFFFFF"/>
              </w:rPr>
              <w:t>ICD-10-CM Code</w:t>
            </w:r>
          </w:p>
        </w:tc>
        <w:tc>
          <w:tcPr>
            <w:tcW w:w="7501" w:type="dxa"/>
            <w:shd w:val="clear" w:color="auto" w:fill="00548C"/>
          </w:tcPr>
          <w:p w:rsidR="00350F22" w:rsidRPr="00350F22" w:rsidRDefault="00350F22" w:rsidP="00F91367">
            <w:pPr>
              <w:rPr>
                <w:b/>
                <w:bCs/>
                <w:color w:val="FFFFFF"/>
              </w:rPr>
            </w:pPr>
            <w:r w:rsidRPr="00350F22">
              <w:rPr>
                <w:b/>
                <w:color w:val="FFFFFF"/>
              </w:rPr>
              <w:t>Description</w:t>
            </w:r>
          </w:p>
        </w:tc>
      </w:tr>
      <w:tr w:rsidR="00350F22" w:rsidRPr="005144C0" w:rsidTr="00F91367">
        <w:tc>
          <w:tcPr>
            <w:tcW w:w="1638" w:type="dxa"/>
          </w:tcPr>
          <w:p w:rsidR="00350F22" w:rsidRPr="005144C0" w:rsidRDefault="00ED7DDF" w:rsidP="00F91367">
            <w:pPr>
              <w:rPr>
                <w:bCs/>
              </w:rPr>
            </w:pPr>
            <w:r>
              <w:rPr>
                <w:bCs/>
              </w:rPr>
              <w:t>N/A</w:t>
            </w:r>
          </w:p>
        </w:tc>
        <w:tc>
          <w:tcPr>
            <w:tcW w:w="7501" w:type="dxa"/>
          </w:tcPr>
          <w:p w:rsidR="00350F22" w:rsidRPr="005144C0" w:rsidRDefault="00350F22" w:rsidP="00F91367">
            <w:pPr>
              <w:rPr>
                <w:bCs/>
              </w:rPr>
            </w:pPr>
          </w:p>
        </w:tc>
      </w:tr>
    </w:tbl>
    <w:p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810" w:type="dxa"/>
            <w:shd w:val="clear" w:color="auto" w:fill="00548C"/>
          </w:tcPr>
          <w:p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rsidR="00B777AF" w:rsidRPr="00B777AF" w:rsidRDefault="001818D7" w:rsidP="00857C10">
            <w:pPr>
              <w:jc w:val="center"/>
              <w:rPr>
                <w:bCs w:val="0"/>
              </w:rPr>
            </w:pPr>
            <w:r>
              <w:rPr>
                <w:bCs w:val="0"/>
              </w:rPr>
              <w:t>Approval</w:t>
            </w:r>
            <w:r w:rsidR="00B777AF" w:rsidRPr="00B777AF">
              <w:rPr>
                <w:bCs w:val="0"/>
              </w:rPr>
              <w:t xml:space="preserve"> Date</w:t>
            </w:r>
          </w:p>
        </w:tc>
      </w:tr>
      <w:tr w:rsidR="00B777AF"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rsidR="00B777AF" w:rsidRDefault="00FD5248" w:rsidP="008F2A00">
            <w:pPr>
              <w:tabs>
                <w:tab w:val="num" w:pos="720"/>
              </w:tabs>
            </w:pPr>
            <w:r>
              <w:t>Policy developed</w:t>
            </w:r>
          </w:p>
        </w:tc>
        <w:tc>
          <w:tcPr>
            <w:tcW w:w="810" w:type="dxa"/>
            <w:tcBorders>
              <w:top w:val="none" w:sz="0" w:space="0" w:color="auto"/>
              <w:bottom w:val="none" w:sz="0" w:space="0" w:color="auto"/>
            </w:tcBorders>
          </w:tcPr>
          <w:p w:rsidR="00B777AF" w:rsidRDefault="00795AF4" w:rsidP="00795AF4">
            <w:pPr>
              <w:jc w:val="center"/>
              <w:cnfStyle w:val="000000100000" w:firstRow="0" w:lastRow="0" w:firstColumn="0" w:lastColumn="0" w:oddVBand="0" w:evenVBand="0" w:oddHBand="1" w:evenHBand="0" w:firstRowFirstColumn="0" w:firstRowLastColumn="0" w:lastRowFirstColumn="0" w:lastRowLastColumn="0"/>
            </w:pPr>
            <w:r>
              <w:t>03/19</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rsidR="00B777AF" w:rsidRDefault="00166AC3" w:rsidP="00857C10">
            <w:pPr>
              <w:jc w:val="center"/>
            </w:pPr>
            <w:r>
              <w:t>4/19</w:t>
            </w:r>
          </w:p>
        </w:tc>
      </w:tr>
    </w:tbl>
    <w:p w:rsidR="00B777AF" w:rsidRDefault="00B777AF" w:rsidP="00B777AF">
      <w:pPr>
        <w:pStyle w:val="Heading6"/>
        <w:tabs>
          <w:tab w:val="clear" w:pos="0"/>
        </w:tabs>
      </w:pPr>
    </w:p>
    <w:p w:rsidR="00963062" w:rsidRPr="00B777AF" w:rsidRDefault="003F3D44" w:rsidP="00963062">
      <w:pPr>
        <w:pStyle w:val="Heading3"/>
      </w:pPr>
      <w:r>
        <w:t>References</w:t>
      </w:r>
    </w:p>
    <w:p w:rsidR="00FC4609" w:rsidRDefault="00795AF4" w:rsidP="009F4262">
      <w:pPr>
        <w:pStyle w:val="ListParagraph"/>
        <w:numPr>
          <w:ilvl w:val="0"/>
          <w:numId w:val="21"/>
        </w:numPr>
        <w:ind w:left="360"/>
      </w:pPr>
      <w:r>
        <w:t xml:space="preserve">Medicare Benefit Policy Manual, Chapter 10-Ambulance Services. </w:t>
      </w:r>
      <w:r w:rsidR="00FC4609">
        <w:t xml:space="preserve">Rev. 243, 04/13/18.  Accessed 03/19/19 at::  </w:t>
      </w:r>
    </w:p>
    <w:p w:rsidR="00795AF4" w:rsidRDefault="00166AC3" w:rsidP="00251CC1">
      <w:pPr>
        <w:pStyle w:val="ListParagraph"/>
        <w:ind w:left="360"/>
      </w:pPr>
      <w:hyperlink r:id="rId11" w:history="1">
        <w:r w:rsidR="00FC4609" w:rsidRPr="00A62A86">
          <w:rPr>
            <w:rStyle w:val="Hyperlink"/>
          </w:rPr>
          <w:t>https://www.cms.gov/Regulations-and-Guidan</w:t>
        </w:r>
        <w:bookmarkStart w:id="2" w:name="_GoBack"/>
        <w:bookmarkEnd w:id="2"/>
        <w:r w:rsidR="00FC4609" w:rsidRPr="00A62A86">
          <w:rPr>
            <w:rStyle w:val="Hyperlink"/>
          </w:rPr>
          <w:t>c</w:t>
        </w:r>
        <w:r w:rsidR="00FC4609" w:rsidRPr="00A62A86">
          <w:rPr>
            <w:rStyle w:val="Hyperlink"/>
          </w:rPr>
          <w:t>e/Guidance/Manuals/downloads/bp102c10.pdf</w:t>
        </w:r>
      </w:hyperlink>
    </w:p>
    <w:p w:rsidR="00D90560" w:rsidRDefault="00795AF4" w:rsidP="009F4262">
      <w:pPr>
        <w:pStyle w:val="ListParagraph"/>
        <w:numPr>
          <w:ilvl w:val="0"/>
          <w:numId w:val="21"/>
        </w:numPr>
        <w:tabs>
          <w:tab w:val="left" w:pos="360"/>
        </w:tabs>
        <w:ind w:left="360"/>
      </w:pPr>
      <w:r>
        <w:t xml:space="preserve">Blackwell, T. Prehospital care of the adult trauma patient. In: UpToDate, </w:t>
      </w:r>
      <w:r w:rsidR="00D90560">
        <w:t xml:space="preserve">Moreira ME.  </w:t>
      </w:r>
      <w:r>
        <w:t xml:space="preserve"> (Ed), UpToDate, Waltham, MA, </w:t>
      </w:r>
      <w:r w:rsidR="00D90560">
        <w:t>Accessed March 19, 2019</w:t>
      </w:r>
    </w:p>
    <w:p w:rsidR="00864FF0" w:rsidRDefault="00864FF0" w:rsidP="0012475C">
      <w:pPr>
        <w:pStyle w:val="ListParagraph"/>
        <w:numPr>
          <w:ilvl w:val="0"/>
          <w:numId w:val="21"/>
        </w:numPr>
        <w:tabs>
          <w:tab w:val="left" w:pos="360"/>
        </w:tabs>
        <w:ind w:left="360"/>
      </w:pPr>
      <w:r w:rsidRPr="00864FF0">
        <w:t>Thomas SH, Brown KM, Oliver ZJ,</w:t>
      </w:r>
      <w:r>
        <w:t xml:space="preserve"> et al.  </w:t>
      </w:r>
      <w:r w:rsidRPr="00864FF0">
        <w:t>An Evidence-based Guideline for the air medical transportation of prehospital trauma patients.</w:t>
      </w:r>
      <w:r w:rsidR="00FB6979">
        <w:t xml:space="preserve">  </w:t>
      </w:r>
      <w:r w:rsidR="00FB6979" w:rsidRPr="00FB6979">
        <w:t>Prehosp Emerg Care. 2014;18 Suppl 1:35-44. doi: 10.3109/10903127.2013.844872. Epub 2013 Nov 26.</w:t>
      </w:r>
    </w:p>
    <w:p w:rsidR="00967CC6" w:rsidRDefault="00967CC6" w:rsidP="0012475C">
      <w:pPr>
        <w:pStyle w:val="ListParagraph"/>
        <w:numPr>
          <w:ilvl w:val="0"/>
          <w:numId w:val="21"/>
        </w:numPr>
        <w:tabs>
          <w:tab w:val="left" w:pos="360"/>
        </w:tabs>
        <w:ind w:left="360"/>
      </w:pPr>
      <w:r w:rsidRPr="00967CC6">
        <w:t>Thomson DP, Thomas SH</w:t>
      </w:r>
      <w:r>
        <w:t>;</w:t>
      </w:r>
      <w:r w:rsidRPr="00967CC6">
        <w:t xml:space="preserve"> 2002-2003 Air Medical Services Committee of the National Association of EMS Physicians</w:t>
      </w:r>
      <w:r>
        <w:t xml:space="preserve">.  </w:t>
      </w:r>
      <w:r w:rsidRPr="00967CC6">
        <w:t>Guidelines for air medical dispatch.</w:t>
      </w:r>
      <w:r>
        <w:t xml:space="preserve"> </w:t>
      </w:r>
      <w:r w:rsidRPr="00967CC6">
        <w:t>Prehosp Emerg Care. 2003 Apr-Jun;7(2):265-71</w:t>
      </w:r>
    </w:p>
    <w:p w:rsidR="002D6F5D" w:rsidRDefault="002D6F5D" w:rsidP="0012475C">
      <w:pPr>
        <w:pStyle w:val="ListParagraph"/>
        <w:numPr>
          <w:ilvl w:val="0"/>
          <w:numId w:val="21"/>
        </w:numPr>
        <w:tabs>
          <w:tab w:val="left" w:pos="360"/>
        </w:tabs>
        <w:ind w:left="360"/>
      </w:pPr>
      <w:r w:rsidRPr="002D6F5D">
        <w:t xml:space="preserve">Sasser SM1, Hunt RC, Faul M, </w:t>
      </w:r>
      <w:r>
        <w:t xml:space="preserve">et al.  </w:t>
      </w:r>
      <w:r w:rsidRPr="002D6F5D">
        <w:t>Guidelines for field triage of injured patients: recommendations of the National Expert Panel on Field Triage, 2011.</w:t>
      </w:r>
      <w:r>
        <w:t xml:space="preserve"> </w:t>
      </w:r>
      <w:r w:rsidRPr="002D6F5D">
        <w:t>MMWR Recomm Rep. 2012 Jan 13;61(RR-1):1-20.</w:t>
      </w:r>
    </w:p>
    <w:p w:rsidR="00E903B2" w:rsidRDefault="00494124" w:rsidP="00494124">
      <w:pPr>
        <w:pStyle w:val="ListParagraph"/>
        <w:numPr>
          <w:ilvl w:val="0"/>
          <w:numId w:val="21"/>
        </w:numPr>
        <w:tabs>
          <w:tab w:val="left" w:pos="360"/>
        </w:tabs>
        <w:ind w:left="360"/>
      </w:pPr>
      <w:r>
        <w:lastRenderedPageBreak/>
        <w:t xml:space="preserve">Report of the Council on Medical Service.  Subject:  Air Ambulance Regulations and Payments.  </w:t>
      </w:r>
      <w:r w:rsidRPr="00494124">
        <w:t xml:space="preserve">CMS Report 2-I-18. </w:t>
      </w:r>
    </w:p>
    <w:p w:rsidR="00494124" w:rsidRDefault="00E903B2" w:rsidP="00E544AF">
      <w:pPr>
        <w:pStyle w:val="ListParagraph"/>
        <w:numPr>
          <w:ilvl w:val="0"/>
          <w:numId w:val="21"/>
        </w:numPr>
        <w:tabs>
          <w:tab w:val="left" w:pos="360"/>
        </w:tabs>
        <w:ind w:left="360"/>
      </w:pPr>
      <w:r w:rsidRPr="00E903B2">
        <w:t>Stewart KE, Cowan LD, Thompson DM</w:t>
      </w:r>
      <w:r>
        <w:t xml:space="preserve">, et al.  </w:t>
      </w:r>
      <w:r w:rsidRPr="00E903B2">
        <w:t>Association of direct helicopter versus ground transport and in-hospital mortality in trauma patients: a propensity score analysis.</w:t>
      </w:r>
      <w:r>
        <w:t xml:space="preserve">  </w:t>
      </w:r>
      <w:r w:rsidRPr="00E903B2">
        <w:t>Acad Emerg Med. 2011 Nov;18(11):1208-16. doi: 10.1111/j.1553-2712.2011.01207.x.</w:t>
      </w:r>
    </w:p>
    <w:p w:rsidR="002D6F5D" w:rsidRDefault="00E544AF" w:rsidP="001B7881">
      <w:pPr>
        <w:pStyle w:val="ListParagraph"/>
        <w:numPr>
          <w:ilvl w:val="0"/>
          <w:numId w:val="21"/>
        </w:numPr>
        <w:tabs>
          <w:tab w:val="left" w:pos="360"/>
        </w:tabs>
        <w:ind w:left="360"/>
      </w:pPr>
      <w:r w:rsidRPr="00E544AF">
        <w:t>Thomas SH, Harrison TH, Buras WR,</w:t>
      </w:r>
      <w:r>
        <w:t xml:space="preserve"> et al.  </w:t>
      </w:r>
      <w:r w:rsidRPr="00E544AF">
        <w:t>Helicopter transport and blunt trauma mortality: a multicenter trial.</w:t>
      </w:r>
      <w:r>
        <w:t xml:space="preserve">  </w:t>
      </w:r>
      <w:r w:rsidRPr="00E544AF">
        <w:t>J Trauma. 2002 Jan;52(1):136-45.</w:t>
      </w:r>
    </w:p>
    <w:p w:rsidR="00E544AF" w:rsidRDefault="00E544AF" w:rsidP="00E544AF">
      <w:pPr>
        <w:pStyle w:val="ListParagraph"/>
        <w:numPr>
          <w:ilvl w:val="0"/>
          <w:numId w:val="21"/>
        </w:numPr>
        <w:tabs>
          <w:tab w:val="left" w:pos="360"/>
        </w:tabs>
        <w:ind w:left="360"/>
      </w:pPr>
      <w:r w:rsidRPr="00E544AF">
        <w:t>Sullivent EE, Faul M, Wald MM</w:t>
      </w:r>
      <w:r>
        <w:t xml:space="preserve">.  </w:t>
      </w:r>
      <w:r w:rsidRPr="00E544AF">
        <w:t>Reduced mortality in injured adults transported by helicopter emergency medical services.</w:t>
      </w:r>
      <w:r>
        <w:t xml:space="preserve">  </w:t>
      </w:r>
      <w:r w:rsidRPr="00E544AF">
        <w:t>Prehosp Emerg Care. 2011 Jul-Sep;15(3):295-302. doi: 10.3109/10903127.2011.569849. Epub 2011 Apr 27.</w:t>
      </w:r>
    </w:p>
    <w:p w:rsidR="00D77DC8" w:rsidRDefault="00D77DC8" w:rsidP="00F11EDF">
      <w:pPr>
        <w:pStyle w:val="ListParagraph"/>
        <w:numPr>
          <w:ilvl w:val="0"/>
          <w:numId w:val="21"/>
        </w:numPr>
        <w:tabs>
          <w:tab w:val="left" w:pos="360"/>
        </w:tabs>
        <w:ind w:left="360"/>
      </w:pPr>
      <w:r>
        <w:t xml:space="preserve">Loyd JW.  Swanson D.  </w:t>
      </w:r>
      <w:r w:rsidRPr="00D77DC8">
        <w:t>Aeromedical Transport</w:t>
      </w:r>
      <w:r>
        <w:t>. StatPearls.  Dec 2018</w:t>
      </w:r>
    </w:p>
    <w:p w:rsidR="00DD6ADB" w:rsidRDefault="00DD6ADB" w:rsidP="00D90560">
      <w:pPr>
        <w:pStyle w:val="ListParagraph"/>
      </w:pPr>
    </w:p>
    <w:p w:rsidR="00DD6ADB" w:rsidRPr="00146C6E" w:rsidRDefault="00C06257" w:rsidP="00146C6E">
      <w:pPr>
        <w:rPr>
          <w:rFonts w:eastAsiaTheme="minorHAnsi"/>
          <w:b/>
          <w:u w:val="single"/>
        </w:rPr>
      </w:pPr>
      <w:bookmarkStart w:id="3" w:name="Important_Reminder"/>
      <w:r w:rsidRPr="00146C6E">
        <w:rPr>
          <w:rFonts w:eastAsiaTheme="minorHAnsi"/>
          <w:b/>
          <w:bCs/>
          <w:u w:val="single"/>
        </w:rPr>
        <w:t>Important R</w:t>
      </w:r>
      <w:r w:rsidR="005D7B81" w:rsidRPr="00146C6E">
        <w:rPr>
          <w:rFonts w:eastAsiaTheme="minorHAnsi"/>
          <w:b/>
          <w:bCs/>
          <w:u w:val="single"/>
        </w:rPr>
        <w:t>eminder</w:t>
      </w:r>
      <w:bookmarkEnd w:id="3"/>
    </w:p>
    <w:p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rsidR="00DD6ADB" w:rsidRPr="00146C6E" w:rsidRDefault="00DD6ADB" w:rsidP="00146C6E">
      <w:pPr>
        <w:rPr>
          <w:rFonts w:eastAsiaTheme="minorHAnsi"/>
        </w:rPr>
      </w:pPr>
    </w:p>
    <w:p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rsidR="00DD6ADB" w:rsidRPr="00146C6E" w:rsidRDefault="00DD6ADB" w:rsidP="00146C6E">
      <w:pPr>
        <w:rPr>
          <w:rFonts w:eastAsiaTheme="minorHAnsi"/>
        </w:rPr>
      </w:pPr>
    </w:p>
    <w:p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rsidR="00DD6ADB" w:rsidRPr="00146C6E" w:rsidRDefault="00DD6ADB" w:rsidP="00146C6E">
      <w:pPr>
        <w:rPr>
          <w:rFonts w:eastAsiaTheme="minorHAnsi"/>
        </w:rPr>
      </w:pPr>
    </w:p>
    <w:p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w:t>
      </w:r>
      <w:r w:rsidRPr="00146C6E">
        <w:rPr>
          <w:rFonts w:eastAsiaTheme="minorHAnsi"/>
        </w:rPr>
        <w:lastRenderedPageBreak/>
        <w:t xml:space="preserve">recommend treatment for members. Members should consult with their treating physician in connection with diagnosis and treatment decisions. </w:t>
      </w:r>
    </w:p>
    <w:p w:rsidR="00DD6ADB" w:rsidRPr="00146C6E" w:rsidRDefault="00DD6ADB" w:rsidP="00146C6E">
      <w:pPr>
        <w:rPr>
          <w:rFonts w:eastAsiaTheme="minorHAnsi"/>
        </w:rPr>
      </w:pPr>
    </w:p>
    <w:p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rsidR="00DD6ADB" w:rsidRPr="00146C6E" w:rsidRDefault="00DD6ADB" w:rsidP="00146C6E">
      <w:pPr>
        <w:rPr>
          <w:rFonts w:eastAsiaTheme="minorHAnsi"/>
        </w:rPr>
      </w:pPr>
    </w:p>
    <w:p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rsidR="00DD6ADB" w:rsidRPr="00146C6E" w:rsidRDefault="00DD6ADB" w:rsidP="00146C6E">
      <w:pPr>
        <w:autoSpaceDE w:val="0"/>
        <w:autoSpaceDN w:val="0"/>
        <w:adjustRightInd w:val="0"/>
        <w:rPr>
          <w:rFonts w:eastAsiaTheme="minorHAnsi"/>
          <w:color w:val="000000"/>
        </w:rPr>
      </w:pPr>
    </w:p>
    <w:p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rsidR="00DD6ADB" w:rsidRPr="00146C6E" w:rsidRDefault="00DD6ADB" w:rsidP="00146C6E">
      <w:pPr>
        <w:rPr>
          <w:rFonts w:eastAsiaTheme="minorHAnsi"/>
        </w:rPr>
      </w:pPr>
    </w:p>
    <w:p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2E5306">
        <w:rPr>
          <w:rFonts w:eastAsiaTheme="minorHAnsi"/>
          <w:color w:val="000000"/>
        </w:rPr>
        <w:t>,</w:t>
      </w:r>
      <w:r w:rsidRPr="00146C6E">
        <w:rPr>
          <w:rFonts w:eastAsiaTheme="minorHAnsi"/>
          <w:color w:val="000000"/>
        </w:rPr>
        <w:t xml:space="preserve"> LCDs</w:t>
      </w:r>
      <w:r w:rsidR="002E5306">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2"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rsidR="00875924" w:rsidRPr="00146C6E" w:rsidRDefault="00875924" w:rsidP="00146C6E">
      <w:pPr>
        <w:rPr>
          <w:iCs/>
        </w:rPr>
      </w:pPr>
    </w:p>
    <w:p w:rsidR="00C75BD4" w:rsidRPr="00146C6E" w:rsidRDefault="00CB63DD" w:rsidP="00146C6E">
      <w:pPr>
        <w:rPr>
          <w:iCs/>
        </w:rPr>
      </w:pPr>
      <w:r>
        <w:rPr>
          <w:iCs/>
        </w:rPr>
        <w:t>©2018</w:t>
      </w:r>
      <w:r w:rsidR="00C75BD4"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00C75BD4" w:rsidRPr="00146C6E">
        <w:rPr>
          <w:iCs/>
          <w:vertAlign w:val="superscript"/>
        </w:rPr>
        <w:t>®</w:t>
      </w:r>
      <w:r w:rsidR="00C75BD4" w:rsidRPr="00146C6E">
        <w:rPr>
          <w:iCs/>
        </w:rPr>
        <w:t xml:space="preserve"> and Centene Corporation</w:t>
      </w:r>
      <w:r w:rsidR="00C75BD4" w:rsidRPr="00146C6E">
        <w:rPr>
          <w:iCs/>
          <w:vertAlign w:val="superscript"/>
        </w:rPr>
        <w:t>®</w:t>
      </w:r>
      <w:r w:rsidR="00C75BD4" w:rsidRPr="00146C6E">
        <w:rPr>
          <w:iCs/>
        </w:rPr>
        <w:t xml:space="preserve"> are registered trademarks exclusively owned by Centene Corporation.</w:t>
      </w:r>
    </w:p>
    <w:p w:rsidR="00C75BD4" w:rsidRDefault="00C75BD4" w:rsidP="00AF5490"/>
    <w:sectPr w:rsidR="00C75BD4" w:rsidSect="00CB63DD">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7C" w:rsidRDefault="00CE6B7C">
      <w:r>
        <w:separator/>
      </w:r>
    </w:p>
  </w:endnote>
  <w:endnote w:type="continuationSeparator" w:id="0">
    <w:p w:rsidR="00CE6B7C" w:rsidRDefault="00CE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166AC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66AC3">
      <w:rPr>
        <w:b/>
        <w:bCs/>
        <w:noProof/>
      </w:rPr>
      <w:t>4</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AAB" w:rsidRDefault="002C6AAB" w:rsidP="002C6AAB">
    <w:pPr>
      <w:pStyle w:val="Footer"/>
      <w:jc w:val="center"/>
    </w:pPr>
    <w:r>
      <w:t xml:space="preserve">Page </w:t>
    </w:r>
    <w:r>
      <w:fldChar w:fldCharType="begin"/>
    </w:r>
    <w:r>
      <w:instrText xml:space="preserve"> PAGE   \* MERGEFORMAT </w:instrText>
    </w:r>
    <w:r>
      <w:fldChar w:fldCharType="separate"/>
    </w:r>
    <w:r w:rsidR="00166AC3">
      <w:rPr>
        <w:noProof/>
      </w:rPr>
      <w:t>1</w:t>
    </w:r>
    <w:r>
      <w:fldChar w:fldCharType="end"/>
    </w:r>
    <w:r>
      <w:t xml:space="preserve"> of </w:t>
    </w:r>
    <w:r w:rsidR="008A23F2">
      <w:rPr>
        <w:noProof/>
      </w:rPr>
      <w:fldChar w:fldCharType="begin"/>
    </w:r>
    <w:r w:rsidR="008A23F2">
      <w:rPr>
        <w:noProof/>
      </w:rPr>
      <w:instrText xml:space="preserve"> NUMPAGES   \* MERGEFORMAT </w:instrText>
    </w:r>
    <w:r w:rsidR="008A23F2">
      <w:rPr>
        <w:noProof/>
      </w:rPr>
      <w:fldChar w:fldCharType="separate"/>
    </w:r>
    <w:r w:rsidR="00166AC3">
      <w:rPr>
        <w:noProof/>
      </w:rPr>
      <w:t>4</w:t>
    </w:r>
    <w:r w:rsidR="008A23F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7C" w:rsidRDefault="00CE6B7C">
      <w:r>
        <w:separator/>
      </w:r>
    </w:p>
  </w:footnote>
  <w:footnote w:type="continuationSeparator" w:id="0">
    <w:p w:rsidR="00CE6B7C" w:rsidRDefault="00CE6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72BFE99E" wp14:editId="47725500">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rsidR="00DD025A" w:rsidRPr="00B777AF" w:rsidRDefault="009F1A47" w:rsidP="00B777AF">
    <w:pPr>
      <w:rPr>
        <w:color w:val="00548C"/>
      </w:rPr>
    </w:pPr>
    <w:r>
      <w:rPr>
        <w:rFonts w:ascii="Times New Roman Bold" w:hAnsi="Times New Roman Bold"/>
        <w:b/>
        <w:bCs/>
        <w:color w:val="00548C"/>
      </w:rPr>
      <w:t>Fixed Wing Air Transportation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E0" w:rsidRDefault="00A20F73" w:rsidP="00B777AF">
    <w:pPr>
      <w:pStyle w:val="Header"/>
      <w:jc w:val="right"/>
    </w:pPr>
    <w:r>
      <w:rPr>
        <w:noProof/>
      </w:rPr>
      <w:drawing>
        <wp:inline distT="0" distB="0" distL="0" distR="0" wp14:anchorId="0833AB8F" wp14:editId="41493629">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27D"/>
    <w:multiLevelType w:val="hybridMultilevel"/>
    <w:tmpl w:val="ED1E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74D3934"/>
    <w:multiLevelType w:val="hybridMultilevel"/>
    <w:tmpl w:val="8A0A2A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239D8"/>
    <w:multiLevelType w:val="hybridMultilevel"/>
    <w:tmpl w:val="C7AC8548"/>
    <w:lvl w:ilvl="0" w:tplc="6BAC0802">
      <w:start w:val="1"/>
      <w:numFmt w:val="upperRoman"/>
      <w:lvlText w:val="%1."/>
      <w:lvlJc w:val="left"/>
      <w:pPr>
        <w:ind w:left="720" w:hanging="360"/>
      </w:pPr>
      <w:rPr>
        <w:rFonts w:hint="default"/>
        <w:b/>
        <w:i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7252D"/>
    <w:multiLevelType w:val="hybridMultilevel"/>
    <w:tmpl w:val="BE0AF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8715D"/>
    <w:multiLevelType w:val="hybridMultilevel"/>
    <w:tmpl w:val="7B6A07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A817F2E"/>
    <w:multiLevelType w:val="hybridMultilevel"/>
    <w:tmpl w:val="B02E74AA"/>
    <w:lvl w:ilvl="0" w:tplc="6BAC0802">
      <w:start w:val="1"/>
      <w:numFmt w:val="upperRoman"/>
      <w:lvlText w:val="%1."/>
      <w:lvlJc w:val="left"/>
      <w:pPr>
        <w:ind w:left="720" w:hanging="360"/>
      </w:pPr>
      <w:rPr>
        <w:rFonts w:hint="default"/>
        <w:b/>
        <w:i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75DB9"/>
    <w:multiLevelType w:val="hybridMultilevel"/>
    <w:tmpl w:val="A25AC2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8B1A41"/>
    <w:multiLevelType w:val="hybridMultilevel"/>
    <w:tmpl w:val="C08E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421F3"/>
    <w:multiLevelType w:val="hybridMultilevel"/>
    <w:tmpl w:val="59C42570"/>
    <w:lvl w:ilvl="0" w:tplc="A852E676">
      <w:start w:val="19"/>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1E3D0A"/>
    <w:multiLevelType w:val="hybridMultilevel"/>
    <w:tmpl w:val="2286C07C"/>
    <w:lvl w:ilvl="0" w:tplc="6BAC0802">
      <w:start w:val="1"/>
      <w:numFmt w:val="upperRoman"/>
      <w:lvlText w:val="%1."/>
      <w:lvlJc w:val="left"/>
      <w:pPr>
        <w:ind w:left="54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
  </w:num>
  <w:num w:numId="3">
    <w:abstractNumId w:val="8"/>
  </w:num>
  <w:num w:numId="4">
    <w:abstractNumId w:val="11"/>
  </w:num>
  <w:num w:numId="5">
    <w:abstractNumId w:val="15"/>
  </w:num>
  <w:num w:numId="6">
    <w:abstractNumId w:val="23"/>
  </w:num>
  <w:num w:numId="7">
    <w:abstractNumId w:val="25"/>
  </w:num>
  <w:num w:numId="8">
    <w:abstractNumId w:val="2"/>
  </w:num>
  <w:num w:numId="9">
    <w:abstractNumId w:val="20"/>
  </w:num>
  <w:num w:numId="10">
    <w:abstractNumId w:val="6"/>
  </w:num>
  <w:num w:numId="11">
    <w:abstractNumId w:val="27"/>
  </w:num>
  <w:num w:numId="12">
    <w:abstractNumId w:val="10"/>
  </w:num>
  <w:num w:numId="13">
    <w:abstractNumId w:val="9"/>
  </w:num>
  <w:num w:numId="14">
    <w:abstractNumId w:val="4"/>
  </w:num>
  <w:num w:numId="15">
    <w:abstractNumId w:val="7"/>
  </w:num>
  <w:num w:numId="16">
    <w:abstractNumId w:val="26"/>
  </w:num>
  <w:num w:numId="17">
    <w:abstractNumId w:val="21"/>
  </w:num>
  <w:num w:numId="18">
    <w:abstractNumId w:val="16"/>
  </w:num>
  <w:num w:numId="19">
    <w:abstractNumId w:val="5"/>
  </w:num>
  <w:num w:numId="20">
    <w:abstractNumId w:val="3"/>
  </w:num>
  <w:num w:numId="21">
    <w:abstractNumId w:val="22"/>
  </w:num>
  <w:num w:numId="22">
    <w:abstractNumId w:val="13"/>
  </w:num>
  <w:num w:numId="23">
    <w:abstractNumId w:val="18"/>
  </w:num>
  <w:num w:numId="24">
    <w:abstractNumId w:val="0"/>
  </w:num>
  <w:num w:numId="25">
    <w:abstractNumId w:val="14"/>
  </w:num>
  <w:num w:numId="26">
    <w:abstractNumId w:val="17"/>
  </w:num>
  <w:num w:numId="27">
    <w:abstractNumId w:val="24"/>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0766"/>
    <w:rsid w:val="00004102"/>
    <w:rsid w:val="00032D3F"/>
    <w:rsid w:val="000465DE"/>
    <w:rsid w:val="0004733E"/>
    <w:rsid w:val="00060509"/>
    <w:rsid w:val="0007495C"/>
    <w:rsid w:val="00083740"/>
    <w:rsid w:val="00094136"/>
    <w:rsid w:val="000C0735"/>
    <w:rsid w:val="000D1294"/>
    <w:rsid w:val="000F10C2"/>
    <w:rsid w:val="001148A8"/>
    <w:rsid w:val="0012475C"/>
    <w:rsid w:val="001309CD"/>
    <w:rsid w:val="0014316D"/>
    <w:rsid w:val="00146C6E"/>
    <w:rsid w:val="001549BD"/>
    <w:rsid w:val="00166AC3"/>
    <w:rsid w:val="00170B14"/>
    <w:rsid w:val="001818D7"/>
    <w:rsid w:val="00185104"/>
    <w:rsid w:val="001962BE"/>
    <w:rsid w:val="00196689"/>
    <w:rsid w:val="00196935"/>
    <w:rsid w:val="0019746F"/>
    <w:rsid w:val="001D0D34"/>
    <w:rsid w:val="001D70D4"/>
    <w:rsid w:val="001E7D12"/>
    <w:rsid w:val="0020675F"/>
    <w:rsid w:val="00220736"/>
    <w:rsid w:val="00230FE4"/>
    <w:rsid w:val="00233651"/>
    <w:rsid w:val="0025015C"/>
    <w:rsid w:val="00251CC1"/>
    <w:rsid w:val="00254020"/>
    <w:rsid w:val="0025452A"/>
    <w:rsid w:val="00263BBC"/>
    <w:rsid w:val="00285997"/>
    <w:rsid w:val="002A39EE"/>
    <w:rsid w:val="002B0582"/>
    <w:rsid w:val="002C28C1"/>
    <w:rsid w:val="002C6AAB"/>
    <w:rsid w:val="002D019A"/>
    <w:rsid w:val="002D6F5D"/>
    <w:rsid w:val="002E48E7"/>
    <w:rsid w:val="002E5306"/>
    <w:rsid w:val="002F0753"/>
    <w:rsid w:val="003033CD"/>
    <w:rsid w:val="00305AF4"/>
    <w:rsid w:val="003140D6"/>
    <w:rsid w:val="003364D1"/>
    <w:rsid w:val="00336E37"/>
    <w:rsid w:val="00337376"/>
    <w:rsid w:val="00345712"/>
    <w:rsid w:val="00350F22"/>
    <w:rsid w:val="003840CC"/>
    <w:rsid w:val="003D7BE7"/>
    <w:rsid w:val="003F1273"/>
    <w:rsid w:val="003F3D44"/>
    <w:rsid w:val="00423592"/>
    <w:rsid w:val="00446540"/>
    <w:rsid w:val="0046116C"/>
    <w:rsid w:val="00472C6C"/>
    <w:rsid w:val="00480C09"/>
    <w:rsid w:val="00490F2E"/>
    <w:rsid w:val="00493710"/>
    <w:rsid w:val="00494124"/>
    <w:rsid w:val="00496BCF"/>
    <w:rsid w:val="00497AED"/>
    <w:rsid w:val="004C7108"/>
    <w:rsid w:val="004E0B99"/>
    <w:rsid w:val="004F6394"/>
    <w:rsid w:val="00505830"/>
    <w:rsid w:val="005103B8"/>
    <w:rsid w:val="00533E51"/>
    <w:rsid w:val="005423D4"/>
    <w:rsid w:val="00542C3D"/>
    <w:rsid w:val="005537B0"/>
    <w:rsid w:val="005776FD"/>
    <w:rsid w:val="00583376"/>
    <w:rsid w:val="005C17DF"/>
    <w:rsid w:val="005C3607"/>
    <w:rsid w:val="005D009F"/>
    <w:rsid w:val="005D2A0E"/>
    <w:rsid w:val="005D5146"/>
    <w:rsid w:val="005D7B81"/>
    <w:rsid w:val="005E411E"/>
    <w:rsid w:val="005F051C"/>
    <w:rsid w:val="005F3F23"/>
    <w:rsid w:val="00607A18"/>
    <w:rsid w:val="006474BB"/>
    <w:rsid w:val="006664E9"/>
    <w:rsid w:val="006743B8"/>
    <w:rsid w:val="006B7840"/>
    <w:rsid w:val="006C74DF"/>
    <w:rsid w:val="006F4D70"/>
    <w:rsid w:val="0070365C"/>
    <w:rsid w:val="007163E2"/>
    <w:rsid w:val="00717B75"/>
    <w:rsid w:val="00744250"/>
    <w:rsid w:val="00767821"/>
    <w:rsid w:val="007764CE"/>
    <w:rsid w:val="00795AF4"/>
    <w:rsid w:val="007A0BCC"/>
    <w:rsid w:val="007B07AE"/>
    <w:rsid w:val="007B50D0"/>
    <w:rsid w:val="007D4801"/>
    <w:rsid w:val="007F1F19"/>
    <w:rsid w:val="00815E4A"/>
    <w:rsid w:val="00817D89"/>
    <w:rsid w:val="00837CAA"/>
    <w:rsid w:val="00857C10"/>
    <w:rsid w:val="00862E49"/>
    <w:rsid w:val="00864FF0"/>
    <w:rsid w:val="00872846"/>
    <w:rsid w:val="00875924"/>
    <w:rsid w:val="00877EC7"/>
    <w:rsid w:val="00896E94"/>
    <w:rsid w:val="008A10F2"/>
    <w:rsid w:val="008A23F2"/>
    <w:rsid w:val="008B0705"/>
    <w:rsid w:val="008C6B3A"/>
    <w:rsid w:val="008C71B0"/>
    <w:rsid w:val="008D437E"/>
    <w:rsid w:val="008E67B6"/>
    <w:rsid w:val="008F513C"/>
    <w:rsid w:val="00902C9B"/>
    <w:rsid w:val="009135E0"/>
    <w:rsid w:val="00915CA4"/>
    <w:rsid w:val="00937054"/>
    <w:rsid w:val="0094710B"/>
    <w:rsid w:val="00950820"/>
    <w:rsid w:val="00961071"/>
    <w:rsid w:val="00963062"/>
    <w:rsid w:val="00967CC6"/>
    <w:rsid w:val="00971015"/>
    <w:rsid w:val="009735FA"/>
    <w:rsid w:val="00977ECA"/>
    <w:rsid w:val="00982180"/>
    <w:rsid w:val="00985A54"/>
    <w:rsid w:val="00985D75"/>
    <w:rsid w:val="009928B2"/>
    <w:rsid w:val="009B25F3"/>
    <w:rsid w:val="009C61B2"/>
    <w:rsid w:val="009D29B5"/>
    <w:rsid w:val="009D5928"/>
    <w:rsid w:val="009E6F29"/>
    <w:rsid w:val="009F1A47"/>
    <w:rsid w:val="009F4262"/>
    <w:rsid w:val="00A20F73"/>
    <w:rsid w:val="00A41969"/>
    <w:rsid w:val="00A60413"/>
    <w:rsid w:val="00A76FED"/>
    <w:rsid w:val="00A83658"/>
    <w:rsid w:val="00A85489"/>
    <w:rsid w:val="00A87B1F"/>
    <w:rsid w:val="00A916E4"/>
    <w:rsid w:val="00AA336E"/>
    <w:rsid w:val="00AA428E"/>
    <w:rsid w:val="00AD1AA6"/>
    <w:rsid w:val="00AF1F2A"/>
    <w:rsid w:val="00AF30EF"/>
    <w:rsid w:val="00AF5490"/>
    <w:rsid w:val="00B4633B"/>
    <w:rsid w:val="00B777AF"/>
    <w:rsid w:val="00B803FA"/>
    <w:rsid w:val="00B8063A"/>
    <w:rsid w:val="00B81789"/>
    <w:rsid w:val="00B92DF1"/>
    <w:rsid w:val="00B94169"/>
    <w:rsid w:val="00BD54B6"/>
    <w:rsid w:val="00BF4150"/>
    <w:rsid w:val="00C01AA6"/>
    <w:rsid w:val="00C06257"/>
    <w:rsid w:val="00C079B0"/>
    <w:rsid w:val="00C10DD8"/>
    <w:rsid w:val="00C14250"/>
    <w:rsid w:val="00C2297C"/>
    <w:rsid w:val="00C64BB4"/>
    <w:rsid w:val="00C73CF5"/>
    <w:rsid w:val="00C75BD4"/>
    <w:rsid w:val="00C81E02"/>
    <w:rsid w:val="00C835D6"/>
    <w:rsid w:val="00C96847"/>
    <w:rsid w:val="00CA42B1"/>
    <w:rsid w:val="00CA53B9"/>
    <w:rsid w:val="00CA5C08"/>
    <w:rsid w:val="00CB63DD"/>
    <w:rsid w:val="00CE5CFA"/>
    <w:rsid w:val="00CE6B7C"/>
    <w:rsid w:val="00CE7CBE"/>
    <w:rsid w:val="00CF2624"/>
    <w:rsid w:val="00D17E92"/>
    <w:rsid w:val="00D36448"/>
    <w:rsid w:val="00D52D04"/>
    <w:rsid w:val="00D56543"/>
    <w:rsid w:val="00D574CA"/>
    <w:rsid w:val="00D70846"/>
    <w:rsid w:val="00D71BC4"/>
    <w:rsid w:val="00D77DC8"/>
    <w:rsid w:val="00D90560"/>
    <w:rsid w:val="00D9627F"/>
    <w:rsid w:val="00DB1DE9"/>
    <w:rsid w:val="00DB7073"/>
    <w:rsid w:val="00DD025A"/>
    <w:rsid w:val="00DD631A"/>
    <w:rsid w:val="00DD6ADB"/>
    <w:rsid w:val="00DD7D7A"/>
    <w:rsid w:val="00DE18E2"/>
    <w:rsid w:val="00DF387A"/>
    <w:rsid w:val="00E34609"/>
    <w:rsid w:val="00E510FD"/>
    <w:rsid w:val="00E544AF"/>
    <w:rsid w:val="00E67CB6"/>
    <w:rsid w:val="00E903B2"/>
    <w:rsid w:val="00E97C17"/>
    <w:rsid w:val="00EA31C1"/>
    <w:rsid w:val="00EA3809"/>
    <w:rsid w:val="00EC184C"/>
    <w:rsid w:val="00ED0A0D"/>
    <w:rsid w:val="00ED7DDF"/>
    <w:rsid w:val="00EE7207"/>
    <w:rsid w:val="00EF1EAA"/>
    <w:rsid w:val="00F03DC0"/>
    <w:rsid w:val="00F11EDF"/>
    <w:rsid w:val="00F15DC2"/>
    <w:rsid w:val="00F2705D"/>
    <w:rsid w:val="00F422E1"/>
    <w:rsid w:val="00F429FD"/>
    <w:rsid w:val="00F67BBD"/>
    <w:rsid w:val="00F71F8E"/>
    <w:rsid w:val="00F74762"/>
    <w:rsid w:val="00F95133"/>
    <w:rsid w:val="00F96C93"/>
    <w:rsid w:val="00FB0592"/>
    <w:rsid w:val="00FB139B"/>
    <w:rsid w:val="00FB6979"/>
    <w:rsid w:val="00FC4609"/>
    <w:rsid w:val="00FD5248"/>
    <w:rsid w:val="00FE290A"/>
    <w:rsid w:val="00FF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Regulations-and-Guidance/Guidance/Manuals/downloads/bp102c10.pd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9643</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2015-06-25T20:16:00Z</cp:lastPrinted>
  <dcterms:created xsi:type="dcterms:W3CDTF">2019-04-24T19:51:00Z</dcterms:created>
  <dcterms:modified xsi:type="dcterms:W3CDTF">2019-04-24T19:51:00Z</dcterms:modified>
</cp:coreProperties>
</file>