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06549" w14:textId="77777777" w:rsidR="00FD2CD2" w:rsidRPr="00B777AF" w:rsidRDefault="00FD2CD2" w:rsidP="00D574CA">
      <w:pPr>
        <w:pStyle w:val="PolicyMainHead"/>
        <w:tabs>
          <w:tab w:val="left" w:pos="360"/>
        </w:tabs>
        <w:spacing w:after="0" w:line="240" w:lineRule="auto"/>
        <w:rPr>
          <w:rFonts w:ascii="Times New Roman" w:hAnsi="Times New Roman"/>
          <w:color w:val="00548C"/>
          <w:sz w:val="36"/>
        </w:rPr>
      </w:pPr>
      <w:bookmarkStart w:id="0" w:name="_GoBack"/>
      <w:bookmarkEnd w:id="0"/>
      <w:r>
        <w:rPr>
          <w:rFonts w:ascii="Times New Roman" w:hAnsi="Times New Roman"/>
          <w:color w:val="00548C"/>
          <w:sz w:val="36"/>
        </w:rPr>
        <w:t>Clinic</w:t>
      </w:r>
      <w:r w:rsidRPr="005D7B81">
        <w:rPr>
          <w:rFonts w:ascii="Times New Roman" w:hAnsi="Times New Roman"/>
          <w:color w:val="00548C"/>
          <w:sz w:val="36"/>
        </w:rPr>
        <w:t xml:space="preserve">al </w:t>
      </w:r>
      <w:r>
        <w:rPr>
          <w:rFonts w:ascii="Times New Roman" w:hAnsi="Times New Roman"/>
          <w:color w:val="00548C"/>
          <w:sz w:val="36"/>
        </w:rPr>
        <w:t xml:space="preserve">Policy:  Sacroiliac Joint Fusion </w:t>
      </w:r>
    </w:p>
    <w:p w14:paraId="59B0654A" w14:textId="77777777" w:rsidR="00FD2CD2" w:rsidRDefault="00FD2CD2" w:rsidP="00D574CA">
      <w:pPr>
        <w:pStyle w:val="PolicyMainHead"/>
        <w:tabs>
          <w:tab w:val="left" w:pos="360"/>
        </w:tabs>
        <w:spacing w:after="0" w:line="240" w:lineRule="auto"/>
        <w:rPr>
          <w:color w:val="00548C"/>
          <w:sz w:val="24"/>
        </w:rPr>
        <w:sectPr w:rsidR="00FD2CD2" w:rsidSect="00B777AF">
          <w:headerReference w:type="default" r:id="rId11"/>
          <w:footerReference w:type="default" r:id="rId12"/>
          <w:headerReference w:type="first" r:id="rId13"/>
          <w:footerReference w:type="first" r:id="rId14"/>
          <w:pgSz w:w="12240" w:h="15840" w:code="1"/>
          <w:pgMar w:top="1440" w:right="907" w:bottom="1152" w:left="1440" w:header="576" w:footer="288" w:gutter="0"/>
          <w:cols w:space="720"/>
          <w:titlePg/>
          <w:docGrid w:linePitch="360"/>
        </w:sectPr>
      </w:pPr>
    </w:p>
    <w:p w14:paraId="59B0654B" w14:textId="77777777" w:rsidR="005A6427" w:rsidRPr="003D7BE7" w:rsidRDefault="00FD2CD2" w:rsidP="005E57A9">
      <w:pPr>
        <w:pStyle w:val="PolicyMainHead"/>
        <w:tabs>
          <w:tab w:val="left" w:pos="360"/>
        </w:tabs>
        <w:spacing w:after="0" w:line="240" w:lineRule="auto"/>
        <w:rPr>
          <w:rFonts w:ascii="Times New Roman" w:hAnsi="Times New Roman"/>
          <w:color w:val="00548C"/>
          <w:sz w:val="24"/>
          <w:szCs w:val="24"/>
        </w:rPr>
        <w:sectPr w:rsidR="005A6427" w:rsidRPr="003D7BE7" w:rsidSect="00480C09">
          <w:type w:val="continuous"/>
          <w:pgSz w:w="12240" w:h="15840" w:code="1"/>
          <w:pgMar w:top="1440" w:right="1170" w:bottom="1152" w:left="1440" w:header="576" w:footer="288" w:gutter="0"/>
          <w:cols w:num="2" w:space="720"/>
          <w:titlePg/>
          <w:docGrid w:linePitch="360"/>
        </w:sectPr>
      </w:pPr>
      <w:r w:rsidRPr="003D7BE7">
        <w:rPr>
          <w:rFonts w:ascii="Times New Roman" w:hAnsi="Times New Roman"/>
          <w:color w:val="00548C"/>
          <w:sz w:val="24"/>
          <w:szCs w:val="24"/>
        </w:rPr>
        <w:t>Reference Number: CP.</w:t>
      </w:r>
      <w:r>
        <w:rPr>
          <w:rFonts w:ascii="Times New Roman" w:hAnsi="Times New Roman"/>
          <w:color w:val="00548C"/>
          <w:sz w:val="24"/>
          <w:szCs w:val="24"/>
        </w:rPr>
        <w:t>MP.</w:t>
      </w:r>
      <w:r w:rsidR="00056EA0">
        <w:rPr>
          <w:rFonts w:ascii="Times New Roman" w:hAnsi="Times New Roman"/>
          <w:color w:val="00548C"/>
          <w:sz w:val="24"/>
          <w:szCs w:val="24"/>
        </w:rPr>
        <w:t>126</w:t>
      </w:r>
      <w:r w:rsidRPr="003D7BE7">
        <w:rPr>
          <w:rFonts w:ascii="Times New Roman" w:hAnsi="Times New Roman"/>
          <w:color w:val="00548C"/>
          <w:sz w:val="24"/>
          <w:szCs w:val="24"/>
        </w:rPr>
        <w:tab/>
      </w:r>
      <w:r w:rsidRPr="003D7BE7">
        <w:rPr>
          <w:rFonts w:ascii="Times New Roman" w:hAnsi="Times New Roman"/>
          <w:color w:val="00548C"/>
          <w:sz w:val="24"/>
          <w:szCs w:val="24"/>
        </w:rPr>
        <w:tab/>
      </w:r>
      <w:r w:rsidRPr="003D7BE7">
        <w:rPr>
          <w:rFonts w:ascii="Times New Roman" w:hAnsi="Times New Roman"/>
          <w:color w:val="00548C"/>
          <w:sz w:val="24"/>
          <w:szCs w:val="24"/>
        </w:rPr>
        <w:tab/>
      </w:r>
      <w:r w:rsidRPr="003D7BE7">
        <w:rPr>
          <w:rFonts w:ascii="Times New Roman" w:hAnsi="Times New Roman"/>
          <w:color w:val="00548C"/>
          <w:sz w:val="24"/>
          <w:szCs w:val="24"/>
        </w:rPr>
        <w:tab/>
      </w:r>
      <w:r w:rsidRPr="003D7BE7">
        <w:rPr>
          <w:rFonts w:ascii="Times New Roman" w:hAnsi="Times New Roman"/>
          <w:color w:val="00548C"/>
          <w:sz w:val="24"/>
          <w:szCs w:val="24"/>
        </w:rPr>
        <w:tab/>
      </w:r>
      <w:r w:rsidRPr="003D7BE7">
        <w:rPr>
          <w:rFonts w:ascii="Times New Roman" w:hAnsi="Times New Roman"/>
          <w:color w:val="00548C"/>
          <w:sz w:val="24"/>
          <w:szCs w:val="24"/>
        </w:rPr>
        <w:tab/>
      </w:r>
      <w:r w:rsidR="005A6427">
        <w:rPr>
          <w:rFonts w:ascii="Times New Roman" w:hAnsi="Times New Roman"/>
          <w:color w:val="00548C"/>
          <w:sz w:val="24"/>
          <w:szCs w:val="24"/>
        </w:rPr>
        <w:t xml:space="preserve">     </w:t>
      </w:r>
      <w:hyperlink w:anchor="Coding_Implications" w:history="1">
        <w:r w:rsidR="005A6427" w:rsidRPr="00875924">
          <w:rPr>
            <w:rStyle w:val="Hyperlink"/>
            <w:rFonts w:ascii="Times New Roman" w:hAnsi="Times New Roman"/>
            <w:sz w:val="24"/>
            <w:szCs w:val="24"/>
          </w:rPr>
          <w:t>Coding Implications</w:t>
        </w:r>
      </w:hyperlink>
      <w:r w:rsidR="005A6427" w:rsidRPr="003D7BE7">
        <w:rPr>
          <w:rFonts w:ascii="Times New Roman" w:hAnsi="Times New Roman"/>
          <w:color w:val="00548C"/>
          <w:sz w:val="24"/>
          <w:szCs w:val="24"/>
        </w:rPr>
        <w:t xml:space="preserve"> </w:t>
      </w:r>
    </w:p>
    <w:p w14:paraId="59B0654C" w14:textId="111DAE8A" w:rsidR="005A6427" w:rsidRDefault="005A6427" w:rsidP="005A6427">
      <w:pPr>
        <w:pStyle w:val="PolicyMainHead"/>
        <w:tabs>
          <w:tab w:val="left" w:pos="360"/>
        </w:tabs>
        <w:spacing w:after="0" w:line="240" w:lineRule="auto"/>
        <w:rPr>
          <w:rFonts w:ascii="Times New Roman" w:hAnsi="Times New Roman"/>
          <w:color w:val="00548C"/>
          <w:sz w:val="24"/>
          <w:szCs w:val="24"/>
        </w:rPr>
      </w:pPr>
      <w:r w:rsidRPr="003D7BE7">
        <w:rPr>
          <w:rFonts w:ascii="Times New Roman" w:hAnsi="Times New Roman"/>
          <w:color w:val="00548C"/>
          <w:sz w:val="24"/>
          <w:szCs w:val="24"/>
        </w:rPr>
        <w:t xml:space="preserve">Last Review Date: </w:t>
      </w:r>
      <w:r w:rsidR="00F46A72">
        <w:rPr>
          <w:rFonts w:ascii="Times New Roman" w:hAnsi="Times New Roman"/>
          <w:color w:val="00548C"/>
          <w:sz w:val="24"/>
          <w:szCs w:val="24"/>
        </w:rPr>
        <w:t>0</w:t>
      </w:r>
      <w:r w:rsidR="00FB17E0">
        <w:rPr>
          <w:rFonts w:ascii="Times New Roman" w:hAnsi="Times New Roman"/>
          <w:color w:val="00548C"/>
          <w:sz w:val="24"/>
          <w:szCs w:val="24"/>
        </w:rPr>
        <w:t>6</w:t>
      </w:r>
      <w:r w:rsidR="00F46A72">
        <w:rPr>
          <w:rFonts w:ascii="Times New Roman" w:hAnsi="Times New Roman"/>
          <w:color w:val="00548C"/>
          <w:sz w:val="24"/>
          <w:szCs w:val="24"/>
        </w:rPr>
        <w:t>/19</w:t>
      </w:r>
    </w:p>
    <w:p w14:paraId="59B0654D" w14:textId="77777777" w:rsidR="005A6427" w:rsidRDefault="00FA0CFC" w:rsidP="005A6427">
      <w:pPr>
        <w:pStyle w:val="PolicyMainHead"/>
        <w:tabs>
          <w:tab w:val="left" w:pos="360"/>
        </w:tabs>
        <w:spacing w:after="0" w:line="240" w:lineRule="auto"/>
        <w:jc w:val="right"/>
        <w:rPr>
          <w:rStyle w:val="Strong"/>
          <w:rFonts w:ascii="Times New Roman" w:hAnsi="Times New Roman"/>
          <w:b w:val="0"/>
          <w:u w:val="single"/>
        </w:rPr>
        <w:sectPr w:rsidR="005A6427" w:rsidSect="00875924">
          <w:type w:val="continuous"/>
          <w:pgSz w:w="12240" w:h="15840" w:code="1"/>
          <w:pgMar w:top="1440" w:right="1170" w:bottom="1440" w:left="1440" w:header="576" w:footer="288" w:gutter="0"/>
          <w:cols w:num="2" w:space="720"/>
          <w:titlePg/>
          <w:docGrid w:linePitch="360"/>
        </w:sectPr>
      </w:pPr>
      <w:hyperlink w:anchor="Revision_Log" w:history="1">
        <w:r w:rsidR="005A6427" w:rsidRPr="003D7BE7">
          <w:rPr>
            <w:rStyle w:val="Hyperlink"/>
            <w:rFonts w:ascii="Times New Roman" w:hAnsi="Times New Roman"/>
            <w:sz w:val="24"/>
            <w:szCs w:val="24"/>
          </w:rPr>
          <w:t>Revision Log</w:t>
        </w:r>
      </w:hyperlink>
      <w:r w:rsidR="005A6427">
        <w:rPr>
          <w:rFonts w:ascii="Times New Roman" w:hAnsi="Times New Roman"/>
          <w:color w:val="00548C"/>
          <w:sz w:val="24"/>
          <w:szCs w:val="24"/>
        </w:rPr>
        <w:t xml:space="preserve"> </w:t>
      </w:r>
    </w:p>
    <w:p w14:paraId="59B0654E" w14:textId="77777777" w:rsidR="00FD2CD2" w:rsidRPr="005E57A9" w:rsidRDefault="00FD2CD2" w:rsidP="00480C09">
      <w:pPr>
        <w:pStyle w:val="PolicyMainHead"/>
        <w:spacing w:after="0" w:line="240" w:lineRule="auto"/>
        <w:ind w:left="360"/>
        <w:rPr>
          <w:rFonts w:ascii="Times New Roman" w:hAnsi="Times New Roman"/>
          <w:color w:val="00548C"/>
          <w:sz w:val="24"/>
          <w:szCs w:val="24"/>
        </w:rPr>
        <w:sectPr w:rsidR="00FD2CD2" w:rsidRPr="005E57A9" w:rsidSect="00480C09">
          <w:type w:val="continuous"/>
          <w:pgSz w:w="12240" w:h="15840" w:code="1"/>
          <w:pgMar w:top="1440" w:right="1080" w:bottom="1440" w:left="1080" w:header="576" w:footer="288" w:gutter="0"/>
          <w:cols w:num="2" w:space="720"/>
          <w:titlePg/>
          <w:docGrid w:linePitch="360"/>
        </w:sectPr>
      </w:pPr>
    </w:p>
    <w:p w14:paraId="59B0654F" w14:textId="77777777" w:rsidR="00FD2CD2" w:rsidRPr="005E57A9" w:rsidRDefault="00FD2CD2" w:rsidP="005E57A9">
      <w:pPr>
        <w:pStyle w:val="PolicyMainHead"/>
        <w:tabs>
          <w:tab w:val="left" w:pos="360"/>
        </w:tabs>
        <w:spacing w:after="0" w:line="240" w:lineRule="auto"/>
        <w:rPr>
          <w:rStyle w:val="Strong"/>
          <w:rFonts w:ascii="Times New Roman" w:hAnsi="Times New Roman"/>
          <w:b w:val="0"/>
          <w:sz w:val="24"/>
          <w:szCs w:val="24"/>
          <w:u w:val="single"/>
        </w:rPr>
        <w:sectPr w:rsidR="00FD2CD2" w:rsidRPr="005E57A9" w:rsidSect="00875924">
          <w:type w:val="continuous"/>
          <w:pgSz w:w="12240" w:h="15840" w:code="1"/>
          <w:pgMar w:top="1440" w:right="1170" w:bottom="1440" w:left="1440" w:header="576" w:footer="288" w:gutter="0"/>
          <w:cols w:num="2" w:space="720"/>
          <w:titlePg/>
          <w:docGrid w:linePitch="360"/>
        </w:sectPr>
      </w:pPr>
    </w:p>
    <w:p w14:paraId="59B06550" w14:textId="77777777" w:rsidR="00FD2CD2" w:rsidRPr="005D7B81" w:rsidRDefault="00FD2CD2" w:rsidP="005E57A9">
      <w:pPr>
        <w:pStyle w:val="NormalWeb"/>
        <w:tabs>
          <w:tab w:val="left" w:pos="975"/>
        </w:tabs>
        <w:spacing w:before="0" w:beforeAutospacing="0" w:after="0" w:afterAutospacing="0"/>
        <w:rPr>
          <w:rStyle w:val="Strong"/>
          <w:rFonts w:ascii="Times New Roman" w:hAnsi="Times New Roman"/>
          <w:b w:val="0"/>
          <w:noProof/>
          <w:color w:val="00548C"/>
          <w:sz w:val="48"/>
          <w:szCs w:val="48"/>
          <w:u w:val="single"/>
        </w:rPr>
      </w:pPr>
      <w:r w:rsidRPr="005D7B81">
        <w:rPr>
          <w:rFonts w:ascii="Times New Roman" w:hAnsi="Times New Roman" w:cs="Times New Roman"/>
          <w:b/>
          <w:color w:val="00548C"/>
        </w:rPr>
        <w:t xml:space="preserve">See </w:t>
      </w:r>
      <w:hyperlink w:anchor="Important_Reminder" w:history="1">
        <w:r w:rsidRPr="005D7B81">
          <w:rPr>
            <w:rStyle w:val="Hyperlink"/>
            <w:rFonts w:ascii="Times New Roman" w:hAnsi="Times New Roman"/>
            <w:noProof/>
          </w:rPr>
          <w:t>Important Reminder</w:t>
        </w:r>
      </w:hyperlink>
      <w:r w:rsidRPr="005D7B81">
        <w:rPr>
          <w:rFonts w:ascii="Times New Roman" w:hAnsi="Times New Roman" w:cs="Times New Roman"/>
          <w:b/>
          <w:color w:val="00548C"/>
        </w:rPr>
        <w:t xml:space="preserve"> at the end of th</w:t>
      </w:r>
      <w:r>
        <w:rPr>
          <w:rFonts w:ascii="Times New Roman" w:hAnsi="Times New Roman" w:cs="Times New Roman"/>
          <w:b/>
          <w:color w:val="00548C"/>
        </w:rPr>
        <w:t>is</w:t>
      </w:r>
      <w:r w:rsidRPr="005D7B81">
        <w:rPr>
          <w:rFonts w:ascii="Times New Roman" w:hAnsi="Times New Roman" w:cs="Times New Roman"/>
          <w:b/>
          <w:color w:val="00548C"/>
        </w:rPr>
        <w:t xml:space="preserve"> policy for</w:t>
      </w:r>
      <w:r>
        <w:rPr>
          <w:rFonts w:ascii="Times New Roman" w:hAnsi="Times New Roman" w:cs="Times New Roman"/>
          <w:b/>
          <w:color w:val="00548C"/>
        </w:rPr>
        <w:t xml:space="preserve"> important</w:t>
      </w:r>
      <w:r w:rsidRPr="005D7B81">
        <w:rPr>
          <w:rFonts w:ascii="Times New Roman" w:hAnsi="Times New Roman" w:cs="Times New Roman"/>
          <w:b/>
          <w:color w:val="00548C"/>
        </w:rPr>
        <w:t xml:space="preserve"> regulatory and legal information</w:t>
      </w:r>
      <w:r>
        <w:rPr>
          <w:rFonts w:ascii="Times New Roman" w:hAnsi="Times New Roman" w:cs="Times New Roman"/>
          <w:b/>
          <w:color w:val="00548C"/>
        </w:rPr>
        <w:t>.</w:t>
      </w:r>
    </w:p>
    <w:p w14:paraId="59B06551" w14:textId="77777777" w:rsidR="00FD2CD2" w:rsidRDefault="00FD2CD2" w:rsidP="00875924">
      <w:pPr>
        <w:pStyle w:val="NormalWeb"/>
        <w:spacing w:before="0" w:beforeAutospacing="0" w:after="0" w:afterAutospacing="0"/>
        <w:jc w:val="center"/>
        <w:rPr>
          <w:rStyle w:val="Strong"/>
          <w:rFonts w:ascii="Times New Roman" w:hAnsi="Times New Roman"/>
          <w:b w:val="0"/>
          <w:u w:val="single"/>
        </w:rPr>
      </w:pPr>
    </w:p>
    <w:p w14:paraId="59B06552" w14:textId="77777777" w:rsidR="00FD2CD2" w:rsidRDefault="00FD2CD2">
      <w:pPr>
        <w:pStyle w:val="Heading2"/>
        <w:rPr>
          <w:u w:val="none"/>
        </w:rPr>
      </w:pPr>
      <w:r w:rsidRPr="00B777AF">
        <w:rPr>
          <w:u w:val="none"/>
        </w:rPr>
        <w:t xml:space="preserve">Description </w:t>
      </w:r>
    </w:p>
    <w:p w14:paraId="59B06553" w14:textId="77777777" w:rsidR="00FD2CD2" w:rsidRDefault="00FD2CD2" w:rsidP="00196935">
      <w:r w:rsidRPr="00441D0C">
        <w:t>Sacroiliac joint fusion</w:t>
      </w:r>
      <w:r w:rsidR="00332E25">
        <w:t>,</w:t>
      </w:r>
      <w:r w:rsidRPr="00441D0C">
        <w:t xml:space="preserve"> or arthrodesis</w:t>
      </w:r>
      <w:r w:rsidR="00332E25">
        <w:t>,</w:t>
      </w:r>
      <w:r w:rsidRPr="00441D0C">
        <w:t xml:space="preserve"> is a surgical technique that </w:t>
      </w:r>
      <w:r>
        <w:t xml:space="preserve">fuses the iliac bone to the sacrum for </w:t>
      </w:r>
      <w:r w:rsidRPr="00441D0C">
        <w:t>stabilization</w:t>
      </w:r>
      <w:r>
        <w:t xml:space="preserve">. </w:t>
      </w:r>
      <w:r w:rsidRPr="00441D0C">
        <w:t>Th</w:t>
      </w:r>
      <w:r w:rsidR="00C14CD6">
        <w:t>is procedure may be performed in a</w:t>
      </w:r>
      <w:r w:rsidRPr="00441D0C">
        <w:t xml:space="preserve"> minimally invasive </w:t>
      </w:r>
      <w:r w:rsidR="00C14CD6">
        <w:t xml:space="preserve">manner </w:t>
      </w:r>
      <w:r w:rsidRPr="00441D0C">
        <w:t xml:space="preserve">or as an open surgical procedure requiring a larger incision and subsequent increased recovery time. </w:t>
      </w:r>
    </w:p>
    <w:p w14:paraId="59B06554" w14:textId="77777777" w:rsidR="00FD2CD2" w:rsidRPr="00B777AF" w:rsidRDefault="00FD2CD2" w:rsidP="00196935"/>
    <w:p w14:paraId="59B06555" w14:textId="77777777" w:rsidR="00FD2CD2" w:rsidRPr="00B777AF" w:rsidRDefault="00FD2CD2">
      <w:pPr>
        <w:pStyle w:val="Heading2"/>
        <w:rPr>
          <w:u w:val="none"/>
        </w:rPr>
      </w:pPr>
      <w:r w:rsidRPr="00B777AF">
        <w:rPr>
          <w:u w:val="none"/>
        </w:rPr>
        <w:t>Policy/Criteria</w:t>
      </w:r>
    </w:p>
    <w:p w14:paraId="59B06556" w14:textId="77777777" w:rsidR="00FD2CD2" w:rsidRDefault="00FD2CD2" w:rsidP="00C96847">
      <w:pPr>
        <w:numPr>
          <w:ilvl w:val="0"/>
          <w:numId w:val="11"/>
        </w:numPr>
        <w:ind w:left="360"/>
      </w:pPr>
      <w:r>
        <w:rPr>
          <w:bCs/>
          <w:color w:val="000000"/>
        </w:rPr>
        <w:t>It is the policy of health plans affiliated with Centene Corporation</w:t>
      </w:r>
      <w:r w:rsidRPr="00C75BD4">
        <w:rPr>
          <w:bCs/>
          <w:color w:val="000000"/>
          <w:vertAlign w:val="superscript"/>
        </w:rPr>
        <w:t>®</w:t>
      </w:r>
      <w:r>
        <w:rPr>
          <w:bCs/>
          <w:color w:val="000000"/>
        </w:rPr>
        <w:t xml:space="preserve"> </w:t>
      </w:r>
      <w:r>
        <w:t xml:space="preserve">that sacroiliac joint fusion is </w:t>
      </w:r>
      <w:r w:rsidRPr="005D6347">
        <w:rPr>
          <w:b/>
        </w:rPr>
        <w:t>medically necessary</w:t>
      </w:r>
      <w:r>
        <w:t xml:space="preserve"> for any of the following indications:</w:t>
      </w:r>
    </w:p>
    <w:p w14:paraId="59B06557" w14:textId="77777777" w:rsidR="00FD2CD2" w:rsidRDefault="00FD2CD2" w:rsidP="003F3D44">
      <w:pPr>
        <w:numPr>
          <w:ilvl w:val="1"/>
          <w:numId w:val="11"/>
        </w:numPr>
        <w:ind w:left="720"/>
      </w:pPr>
      <w:r>
        <w:t>Stabilization of a traumatic, severe disruption</w:t>
      </w:r>
      <w:r w:rsidR="00C14CD6">
        <w:t>,</w:t>
      </w:r>
      <w:r>
        <w:t xml:space="preserve"> or fracture of the pelvic ring; or </w:t>
      </w:r>
    </w:p>
    <w:p w14:paraId="59B06558" w14:textId="77777777" w:rsidR="00FD2CD2" w:rsidRDefault="00FD2CD2" w:rsidP="003F3D44">
      <w:pPr>
        <w:numPr>
          <w:ilvl w:val="1"/>
          <w:numId w:val="11"/>
        </w:numPr>
        <w:ind w:left="720"/>
      </w:pPr>
      <w:r>
        <w:t xml:space="preserve">As an adjunct to sacrectomy or partial sacrectomy for the treatment of sacral tumors; or </w:t>
      </w:r>
    </w:p>
    <w:p w14:paraId="59B06559" w14:textId="77777777" w:rsidR="00FD2CD2" w:rsidRPr="00CA1D6E" w:rsidRDefault="00FD2CD2" w:rsidP="003F3D44">
      <w:pPr>
        <w:numPr>
          <w:ilvl w:val="1"/>
          <w:numId w:val="11"/>
        </w:numPr>
        <w:ind w:left="720"/>
      </w:pPr>
      <w:r>
        <w:t xml:space="preserve">As an adjunct to the medical treatment of sacroiliac joint infection or sepsis </w:t>
      </w:r>
      <w:r w:rsidRPr="00C55B74">
        <w:t xml:space="preserve">(e.g., osteomyelitis, pyogenic sacroiliitis); </w:t>
      </w:r>
      <w:r>
        <w:t>or</w:t>
      </w:r>
    </w:p>
    <w:p w14:paraId="59B0655A" w14:textId="77777777" w:rsidR="00FD2CD2" w:rsidRDefault="00FD2CD2" w:rsidP="00CA1D6E">
      <w:pPr>
        <w:numPr>
          <w:ilvl w:val="1"/>
          <w:numId w:val="11"/>
        </w:numPr>
        <w:ind w:left="720"/>
      </w:pPr>
      <w:r>
        <w:t xml:space="preserve">During multisegment spinal constructs </w:t>
      </w:r>
      <w:r w:rsidRPr="00C55B74">
        <w:t>(e.g., correction of deformity in scoliosis or kyphosis surgery</w:t>
      </w:r>
      <w:r>
        <w:t>,</w:t>
      </w:r>
      <w:r w:rsidRPr="00C55B74">
        <w:t xml:space="preserve"> extending to the ilium).</w:t>
      </w:r>
      <w:r>
        <w:t xml:space="preserve"> </w:t>
      </w:r>
    </w:p>
    <w:p w14:paraId="59B0655B" w14:textId="77777777" w:rsidR="00FD2CD2" w:rsidRDefault="00FD2CD2" w:rsidP="00C55B74">
      <w:pPr>
        <w:rPr>
          <w:rFonts w:ascii="Times New Roman Bold" w:hAnsi="Times New Roman Bold"/>
          <w:b/>
          <w:bCs/>
          <w:color w:val="000000"/>
        </w:rPr>
      </w:pPr>
    </w:p>
    <w:p w14:paraId="59B0655C" w14:textId="77777777" w:rsidR="00FD2CD2" w:rsidRPr="00CA1D6E" w:rsidRDefault="00FD2CD2" w:rsidP="00CA1D6E">
      <w:pPr>
        <w:numPr>
          <w:ilvl w:val="0"/>
          <w:numId w:val="11"/>
        </w:numPr>
        <w:ind w:left="360"/>
        <w:rPr>
          <w:bCs/>
          <w:color w:val="000000"/>
        </w:rPr>
      </w:pPr>
      <w:r>
        <w:rPr>
          <w:bCs/>
          <w:color w:val="000000"/>
        </w:rPr>
        <w:t xml:space="preserve">It is the policy of health plans affiliated with Centene Corporation </w:t>
      </w:r>
      <w:r w:rsidRPr="00CA1D6E">
        <w:rPr>
          <w:bCs/>
          <w:color w:val="000000"/>
        </w:rPr>
        <w:t>that sacroiliac joint fusion</w:t>
      </w:r>
      <w:r w:rsidR="00CA1D6E">
        <w:rPr>
          <w:bCs/>
          <w:color w:val="000000"/>
        </w:rPr>
        <w:t xml:space="preserve"> </w:t>
      </w:r>
      <w:r w:rsidRPr="00CA1D6E">
        <w:rPr>
          <w:bCs/>
          <w:color w:val="000000"/>
        </w:rPr>
        <w:t>procedures, either open or minimally invasive (e.g., iFuse)</w:t>
      </w:r>
      <w:r w:rsidR="00CA1D6E" w:rsidRPr="00CA1D6E">
        <w:rPr>
          <w:bCs/>
          <w:color w:val="000000"/>
        </w:rPr>
        <w:t>,</w:t>
      </w:r>
      <w:r w:rsidRPr="00CA1D6E">
        <w:rPr>
          <w:bCs/>
          <w:color w:val="000000"/>
        </w:rPr>
        <w:t xml:space="preserve"> are investigational for treating mechanical low back pain due to sacroiliac joint syndrome, radicular pain syndromes, degenerative sacroiliac joint, sacral insufficiency fractures, and pelvic girdle pain</w:t>
      </w:r>
      <w:r w:rsidR="00332E25">
        <w:rPr>
          <w:bCs/>
          <w:color w:val="000000"/>
        </w:rPr>
        <w:t>,</w:t>
      </w:r>
      <w:r w:rsidRPr="00CA1D6E">
        <w:rPr>
          <w:bCs/>
          <w:color w:val="000000"/>
        </w:rPr>
        <w:t xml:space="preserve"> because long-term safety and effectiveness has not been established.  </w:t>
      </w:r>
    </w:p>
    <w:p w14:paraId="59B0655D" w14:textId="77777777" w:rsidR="00FD2CD2" w:rsidRDefault="00FD2CD2" w:rsidP="003840CC">
      <w:pPr>
        <w:rPr>
          <w:bCs/>
          <w:color w:val="000000"/>
        </w:rPr>
      </w:pPr>
      <w:r>
        <w:t xml:space="preserve">     </w:t>
      </w:r>
    </w:p>
    <w:p w14:paraId="59B0655E" w14:textId="77777777" w:rsidR="00FD2CD2" w:rsidRDefault="00FD2CD2" w:rsidP="00FB0592">
      <w:pPr>
        <w:pStyle w:val="Heading2"/>
        <w:rPr>
          <w:u w:val="none"/>
        </w:rPr>
      </w:pPr>
      <w:r w:rsidRPr="00B777AF">
        <w:rPr>
          <w:u w:val="none"/>
        </w:rPr>
        <w:t>Background</w:t>
      </w:r>
    </w:p>
    <w:p w14:paraId="59B0655F" w14:textId="77777777" w:rsidR="00FD2CD2" w:rsidRDefault="00FD2CD2" w:rsidP="00441D0C">
      <w:pPr>
        <w:rPr>
          <w:color w:val="000000" w:themeColor="text1"/>
        </w:rPr>
      </w:pPr>
      <w:r w:rsidRPr="000233A4">
        <w:rPr>
          <w:color w:val="000000" w:themeColor="text1"/>
        </w:rPr>
        <w:t>Low back pain may become chronic and disabling for about 5-10% of the adults in the United States. When the sacroiliac joint is the source of this pain, and all appropriate conservative measures fail to relieve symptoms of</w:t>
      </w:r>
      <w:r w:rsidR="00B817E0" w:rsidRPr="000233A4">
        <w:rPr>
          <w:color w:val="000000" w:themeColor="text1"/>
        </w:rPr>
        <w:t xml:space="preserve"> </w:t>
      </w:r>
      <w:r w:rsidRPr="000233A4">
        <w:rPr>
          <w:color w:val="000000" w:themeColor="text1"/>
        </w:rPr>
        <w:t>trauma associated with fracture, infection</w:t>
      </w:r>
      <w:r w:rsidR="00B817E0" w:rsidRPr="000233A4">
        <w:rPr>
          <w:color w:val="000000" w:themeColor="text1"/>
        </w:rPr>
        <w:t>/sepsis</w:t>
      </w:r>
      <w:r w:rsidRPr="000233A4">
        <w:rPr>
          <w:color w:val="000000" w:themeColor="text1"/>
        </w:rPr>
        <w:t xml:space="preserve">, </w:t>
      </w:r>
      <w:r w:rsidR="000429C2" w:rsidRPr="000233A4">
        <w:rPr>
          <w:color w:val="000000" w:themeColor="text1"/>
        </w:rPr>
        <w:t xml:space="preserve">tumors involving the sacrum, </w:t>
      </w:r>
      <w:r w:rsidRPr="000233A4">
        <w:rPr>
          <w:color w:val="000000" w:themeColor="text1"/>
        </w:rPr>
        <w:t xml:space="preserve">cancer, </w:t>
      </w:r>
      <w:r w:rsidR="00B817E0" w:rsidRPr="000233A4">
        <w:rPr>
          <w:color w:val="000000" w:themeColor="text1"/>
        </w:rPr>
        <w:t xml:space="preserve">or </w:t>
      </w:r>
      <w:r w:rsidRPr="000233A4">
        <w:rPr>
          <w:color w:val="000000" w:themeColor="text1"/>
        </w:rPr>
        <w:t xml:space="preserve">spinal instability, options may include fusion of </w:t>
      </w:r>
      <w:r w:rsidR="00B817E0" w:rsidRPr="000233A4">
        <w:rPr>
          <w:color w:val="000000" w:themeColor="text1"/>
        </w:rPr>
        <w:t>this</w:t>
      </w:r>
      <w:r w:rsidRPr="000233A4">
        <w:rPr>
          <w:color w:val="000000" w:themeColor="text1"/>
        </w:rPr>
        <w:t xml:space="preserve"> joint or implantation of devices that stabilize th</w:t>
      </w:r>
      <w:r w:rsidR="00B817E0" w:rsidRPr="000233A4">
        <w:rPr>
          <w:color w:val="000000" w:themeColor="text1"/>
        </w:rPr>
        <w:t>is</w:t>
      </w:r>
      <w:r w:rsidRPr="000233A4">
        <w:rPr>
          <w:color w:val="000000" w:themeColor="text1"/>
        </w:rPr>
        <w:t xml:space="preserve"> joint with minimally invasive surgery</w:t>
      </w:r>
      <w:r w:rsidR="000429C2" w:rsidRPr="000233A4">
        <w:rPr>
          <w:color w:val="000000" w:themeColor="text1"/>
        </w:rPr>
        <w:t>.</w:t>
      </w:r>
      <w:r w:rsidRPr="000233A4">
        <w:rPr>
          <w:color w:val="000000" w:themeColor="text1"/>
        </w:rPr>
        <w:t xml:space="preserve"> To stabilize the sacroiliac joint, the iliac crest bone and the sacrum are held together by plates and/or screws or an interbody fusion cage</w:t>
      </w:r>
      <w:r w:rsidR="000233A4" w:rsidRPr="000233A4">
        <w:rPr>
          <w:color w:val="000000" w:themeColor="text1"/>
        </w:rPr>
        <w:t>,</w:t>
      </w:r>
      <w:r w:rsidRPr="000233A4">
        <w:rPr>
          <w:color w:val="000000" w:themeColor="text1"/>
        </w:rPr>
        <w:t xml:space="preserve"> until the two bones fuse.</w:t>
      </w:r>
      <w:r w:rsidR="00B11C3E">
        <w:rPr>
          <w:color w:val="000000" w:themeColor="text1"/>
        </w:rPr>
        <w:t xml:space="preserve"> </w:t>
      </w:r>
    </w:p>
    <w:p w14:paraId="59B06560" w14:textId="77777777" w:rsidR="00624FC5" w:rsidRDefault="00624FC5" w:rsidP="00441D0C">
      <w:pPr>
        <w:rPr>
          <w:color w:val="000000" w:themeColor="text1"/>
        </w:rPr>
      </w:pPr>
    </w:p>
    <w:p w14:paraId="59B06561" w14:textId="77777777" w:rsidR="00DD0375" w:rsidRPr="00801B63" w:rsidRDefault="00C14CD6" w:rsidP="00DD0375">
      <w:pPr>
        <w:rPr>
          <w:sz w:val="20"/>
          <w:vertAlign w:val="superscript"/>
        </w:rPr>
      </w:pPr>
      <w:r>
        <w:rPr>
          <w:color w:val="000000" w:themeColor="text1"/>
        </w:rPr>
        <w:t>There are a number of FDA-</w:t>
      </w:r>
      <w:r w:rsidR="00624FC5">
        <w:rPr>
          <w:color w:val="000000" w:themeColor="text1"/>
        </w:rPr>
        <w:t xml:space="preserve">approved implants that have been proposed for sacroiliac joint disorders, but the majority of clinical trials and studies have been done on the iFuse implant system. </w:t>
      </w:r>
      <w:r w:rsidR="00FD2CD2" w:rsidRPr="000233A4">
        <w:rPr>
          <w:color w:val="000000" w:themeColor="text1"/>
        </w:rPr>
        <w:t>Th</w:t>
      </w:r>
      <w:r w:rsidR="00624FC5">
        <w:rPr>
          <w:color w:val="000000" w:themeColor="text1"/>
        </w:rPr>
        <w:t>is was</w:t>
      </w:r>
      <w:r w:rsidR="00FD2CD2" w:rsidRPr="000233A4">
        <w:rPr>
          <w:color w:val="000000" w:themeColor="text1"/>
        </w:rPr>
        <w:t xml:space="preserve"> initially called the SI Joint Fusion</w:t>
      </w:r>
      <w:r w:rsidR="00624FC5">
        <w:rPr>
          <w:color w:val="000000" w:themeColor="text1"/>
        </w:rPr>
        <w:t xml:space="preserve"> and</w:t>
      </w:r>
      <w:r w:rsidR="00FD2CD2" w:rsidRPr="000233A4">
        <w:rPr>
          <w:color w:val="000000" w:themeColor="text1"/>
        </w:rPr>
        <w:t xml:space="preserve"> received the original 510(k) clearance from the Food and Drug Administration in November 2008, for fracture fixation of long bones, large bone </w:t>
      </w:r>
      <w:r w:rsidR="00FD2CD2" w:rsidRPr="00EE137D">
        <w:t>fragments of the pelvis</w:t>
      </w:r>
      <w:r w:rsidR="00FD2CD2">
        <w:t xml:space="preserve"> and</w:t>
      </w:r>
      <w:r w:rsidR="00FD2CD2" w:rsidRPr="00EE137D">
        <w:t xml:space="preserve"> for conditions including sacroiliac joint disruptions and degenerative sacroiliitis. </w:t>
      </w:r>
      <w:r w:rsidR="00FD2CD2">
        <w:t>A</w:t>
      </w:r>
      <w:r w:rsidR="00FD2CD2" w:rsidRPr="00EE137D">
        <w:t xml:space="preserve">dditional FDA </w:t>
      </w:r>
      <w:r w:rsidR="00FD2CD2">
        <w:t>clearances were</w:t>
      </w:r>
      <w:r w:rsidR="00FD2CD2" w:rsidRPr="00EE137D">
        <w:t xml:space="preserve"> given on April 21, 2011</w:t>
      </w:r>
      <w:r w:rsidR="00FD2CD2">
        <w:t xml:space="preserve"> and on April</w:t>
      </w:r>
      <w:r w:rsidR="000F53E2">
        <w:t xml:space="preserve"> </w:t>
      </w:r>
      <w:r w:rsidR="00FD2CD2">
        <w:t xml:space="preserve">17, 2015. </w:t>
      </w:r>
      <w:r w:rsidR="00FD2CD2" w:rsidRPr="00BE02D1">
        <w:rPr>
          <w:color w:val="000000"/>
        </w:rPr>
        <w:t>The iFuse system involves the fluoroscopical</w:t>
      </w:r>
      <w:r w:rsidR="0053409A">
        <w:rPr>
          <w:color w:val="000000"/>
        </w:rPr>
        <w:t xml:space="preserve">ly guided insertion of titanium </w:t>
      </w:r>
      <w:r w:rsidR="00FD2CD2" w:rsidRPr="00BE02D1">
        <w:rPr>
          <w:color w:val="000000"/>
        </w:rPr>
        <w:t xml:space="preserve">implants across the sacroiliac joint. Under general anesthesia, a 2 to 3 centimeter </w:t>
      </w:r>
      <w:r w:rsidR="00FD2CD2">
        <w:rPr>
          <w:color w:val="000000"/>
        </w:rPr>
        <w:t>incision</w:t>
      </w:r>
      <w:r w:rsidR="00FD2CD2" w:rsidRPr="00BE02D1">
        <w:rPr>
          <w:color w:val="000000"/>
        </w:rPr>
        <w:t xml:space="preserve"> is created, and after determining the appropriate size of the implant, a cannulated delivery system is used to </w:t>
      </w:r>
      <w:r w:rsidR="00FD2CD2" w:rsidRPr="00BE02D1">
        <w:rPr>
          <w:color w:val="000000"/>
        </w:rPr>
        <w:lastRenderedPageBreak/>
        <w:t xml:space="preserve">insert the </w:t>
      </w:r>
      <w:r w:rsidR="00FD2CD2">
        <w:rPr>
          <w:color w:val="000000"/>
        </w:rPr>
        <w:t>implants</w:t>
      </w:r>
      <w:r w:rsidR="00FD2CD2" w:rsidRPr="00BE02D1">
        <w:rPr>
          <w:color w:val="000000"/>
        </w:rPr>
        <w:t xml:space="preserve"> into the proper position. While the number varies, most patients receive 3 implants to stabilize the joint.</w:t>
      </w:r>
      <w:r w:rsidR="00801B63" w:rsidRPr="00801B63">
        <w:rPr>
          <w:color w:val="000000"/>
          <w:vertAlign w:val="superscript"/>
        </w:rPr>
        <w:t>13</w:t>
      </w:r>
      <w:r w:rsidR="00FD2CD2" w:rsidRPr="00BE02D1">
        <w:rPr>
          <w:color w:val="000000"/>
        </w:rPr>
        <w:t xml:space="preserve"> </w:t>
      </w:r>
      <w:r w:rsidR="00801B63" w:rsidRPr="00801B63">
        <w:rPr>
          <w:color w:val="000000"/>
          <w:vertAlign w:val="superscript"/>
        </w:rPr>
        <w:t>14</w:t>
      </w:r>
    </w:p>
    <w:p w14:paraId="59B06562" w14:textId="77777777" w:rsidR="00DD0375" w:rsidRDefault="00DD0375" w:rsidP="00441D0C">
      <w:pPr>
        <w:rPr>
          <w:color w:val="000000"/>
        </w:rPr>
      </w:pPr>
    </w:p>
    <w:p w14:paraId="59B06563" w14:textId="77777777" w:rsidR="00DD0375" w:rsidRPr="00DA130E" w:rsidRDefault="00FD2CD2" w:rsidP="00DD0375">
      <w:pPr>
        <w:rPr>
          <w:color w:val="000000"/>
          <w:vertAlign w:val="superscript"/>
        </w:rPr>
      </w:pPr>
      <w:r w:rsidRPr="000233A4">
        <w:rPr>
          <w:color w:val="000000"/>
        </w:rPr>
        <w:t xml:space="preserve">Wang and Polly completed two randomized controlled trials </w:t>
      </w:r>
      <w:r w:rsidR="00332E25">
        <w:rPr>
          <w:color w:val="000000"/>
        </w:rPr>
        <w:t>with a six</w:t>
      </w:r>
      <w:r w:rsidR="00C14CD6">
        <w:rPr>
          <w:color w:val="000000"/>
        </w:rPr>
        <w:t xml:space="preserve"> month and one year follow up, respectively,</w:t>
      </w:r>
      <w:r w:rsidRPr="000233A4">
        <w:rPr>
          <w:color w:val="000000"/>
        </w:rPr>
        <w:t xml:space="preserve"> on sacroiliac joint fusion using iFuse verses non-surgical management. The iFuse led to better outcomes and similar safety compared with nonsurgical management, and to better operative outcomes and at least </w:t>
      </w:r>
      <w:r w:rsidR="0053409A">
        <w:rPr>
          <w:color w:val="000000"/>
        </w:rPr>
        <w:t>c</w:t>
      </w:r>
      <w:r w:rsidRPr="000233A4">
        <w:rPr>
          <w:color w:val="000000"/>
        </w:rPr>
        <w:t xml:space="preserve">omparable efficacy compared with open surgery. However, uncertainty remains due to the lack of longer-term efficacy and safety follow-up with radiologic confirmation, and to the lack of comparisons with other minimally invasive approaches. </w:t>
      </w:r>
      <w:r w:rsidR="00DD0375" w:rsidRPr="00DA130E">
        <w:rPr>
          <w:color w:val="000000"/>
          <w:vertAlign w:val="superscript"/>
        </w:rPr>
        <w:t>15</w:t>
      </w:r>
      <w:r w:rsidR="00C14CD6">
        <w:rPr>
          <w:color w:val="000000"/>
          <w:vertAlign w:val="superscript"/>
        </w:rPr>
        <w:t>,</w:t>
      </w:r>
      <w:r w:rsidR="00DD0375" w:rsidRPr="00DA130E">
        <w:rPr>
          <w:color w:val="000000"/>
          <w:vertAlign w:val="superscript"/>
        </w:rPr>
        <w:t xml:space="preserve"> </w:t>
      </w:r>
      <w:r w:rsidR="00DD0375">
        <w:rPr>
          <w:color w:val="000000"/>
          <w:vertAlign w:val="superscript"/>
        </w:rPr>
        <w:t>10</w:t>
      </w:r>
    </w:p>
    <w:p w14:paraId="59B06564" w14:textId="77777777" w:rsidR="000233A4" w:rsidRPr="000233A4" w:rsidRDefault="000233A4" w:rsidP="00E409B2">
      <w:pPr>
        <w:rPr>
          <w:color w:val="000000"/>
          <w:vertAlign w:val="superscript"/>
        </w:rPr>
      </w:pPr>
    </w:p>
    <w:p w14:paraId="59B06565" w14:textId="77777777" w:rsidR="00801B63" w:rsidRPr="000233A4" w:rsidRDefault="00E41031" w:rsidP="00801B63">
      <w:pPr>
        <w:rPr>
          <w:color w:val="000000"/>
          <w:vertAlign w:val="superscript"/>
        </w:rPr>
      </w:pPr>
      <w:r w:rsidRPr="005E58DB">
        <w:rPr>
          <w:color w:val="000000"/>
        </w:rPr>
        <w:t>The sacroiliac joint remains a controversial source of primary low back pain, and surgery is rarely performed for sacroiliac joint dysfunction.</w:t>
      </w:r>
      <w:r>
        <w:rPr>
          <w:color w:val="000000"/>
        </w:rPr>
        <w:t xml:space="preserve"> </w:t>
      </w:r>
      <w:r w:rsidR="00FD2CD2" w:rsidRPr="00537C0C">
        <w:rPr>
          <w:color w:val="000000"/>
        </w:rPr>
        <w:t xml:space="preserve">Although there are ongoing </w:t>
      </w:r>
      <w:r w:rsidR="00FD2CD2">
        <w:rPr>
          <w:color w:val="000000"/>
        </w:rPr>
        <w:t>published peer-reviewed studies</w:t>
      </w:r>
      <w:r w:rsidR="00FD2CD2" w:rsidRPr="00537C0C">
        <w:rPr>
          <w:color w:val="000000"/>
        </w:rPr>
        <w:t xml:space="preserve">, there is a paucity of </w:t>
      </w:r>
      <w:r w:rsidR="00FD2CD2">
        <w:rPr>
          <w:color w:val="000000"/>
        </w:rPr>
        <w:t xml:space="preserve">long-term, </w:t>
      </w:r>
      <w:r w:rsidR="00FD2CD2" w:rsidRPr="00537C0C">
        <w:rPr>
          <w:color w:val="000000"/>
        </w:rPr>
        <w:t>scientific literature to support sacroiliac joint fusion for low back pain</w:t>
      </w:r>
      <w:r w:rsidR="00FD2CD2">
        <w:rPr>
          <w:color w:val="000000"/>
        </w:rPr>
        <w:t>. Additional r</w:t>
      </w:r>
      <w:r w:rsidR="00FD2CD2" w:rsidRPr="00537C0C">
        <w:rPr>
          <w:color w:val="000000"/>
        </w:rPr>
        <w:t xml:space="preserve">andomized, controlled trials or comparison studies are needed to compare sacroiliac joint fusion </w:t>
      </w:r>
      <w:r w:rsidR="003E111E">
        <w:rPr>
          <w:color w:val="000000"/>
        </w:rPr>
        <w:t xml:space="preserve">for low back pain </w:t>
      </w:r>
      <w:r w:rsidR="00FD2CD2" w:rsidRPr="00537C0C">
        <w:rPr>
          <w:color w:val="000000"/>
        </w:rPr>
        <w:t xml:space="preserve">to </w:t>
      </w:r>
      <w:r w:rsidR="003E111E">
        <w:rPr>
          <w:color w:val="000000"/>
        </w:rPr>
        <w:t>non-surgical</w:t>
      </w:r>
      <w:r w:rsidR="00FD2CD2" w:rsidRPr="00537C0C">
        <w:rPr>
          <w:color w:val="000000"/>
        </w:rPr>
        <w:t xml:space="preserve"> treatments to determine the impact on health outcomes and long-term efficacy and safety.</w:t>
      </w:r>
      <w:r w:rsidR="00801B63" w:rsidRPr="000233A4">
        <w:rPr>
          <w:color w:val="000000"/>
          <w:vertAlign w:val="superscript"/>
        </w:rPr>
        <w:t xml:space="preserve"> 17</w:t>
      </w:r>
    </w:p>
    <w:p w14:paraId="59B06566" w14:textId="77777777" w:rsidR="00FC793C" w:rsidRDefault="00FC793C" w:rsidP="00E409B2">
      <w:pPr>
        <w:rPr>
          <w:sz w:val="23"/>
          <w:szCs w:val="23"/>
        </w:rPr>
      </w:pPr>
    </w:p>
    <w:p w14:paraId="59B06567" w14:textId="77777777" w:rsidR="00FD2CD2" w:rsidRDefault="00FD2CD2" w:rsidP="00883095">
      <w:pPr>
        <w:rPr>
          <w:i/>
        </w:rPr>
      </w:pPr>
      <w:r w:rsidRPr="00B24C74">
        <w:rPr>
          <w:i/>
        </w:rPr>
        <w:t>State of Colorado, Department of Labor and Employment, Division of Workers’ Compensation</w:t>
      </w:r>
      <w:r>
        <w:t>, recommends</w:t>
      </w:r>
      <w:r w:rsidRPr="00B24C74">
        <w:t xml:space="preserve">: </w:t>
      </w:r>
      <w:r>
        <w:t>s</w:t>
      </w:r>
      <w:r w:rsidRPr="00B24C74">
        <w:t>acroiliac (SI) joint fusion may be indicated for stabilization of a traumatic severe disruption of the pelvic ring. This procedure has limited use in minor trauma and would be considered only on an individual</w:t>
      </w:r>
      <w:r w:rsidR="002E0B3E">
        <w:t>,</w:t>
      </w:r>
      <w:r w:rsidRPr="00B24C74">
        <w:t xml:space="preserve"> case-by-case basis. In p</w:t>
      </w:r>
      <w:r w:rsidR="005051AF">
        <w:t xml:space="preserve">atients with typical, </w:t>
      </w:r>
      <w:r w:rsidRPr="00B24C74">
        <w:t>mechanical low back pain, this procedure is considered to be investigational. Until the efficacy of this procedure for mechanical low back pain is determined by an independent</w:t>
      </w:r>
      <w:r w:rsidR="005051AF">
        <w:t>,</w:t>
      </w:r>
      <w:r w:rsidRPr="00B24C74">
        <w:t xml:space="preserve"> valid</w:t>
      </w:r>
      <w:r w:rsidR="005051AF">
        <w:t>,</w:t>
      </w:r>
      <w:r w:rsidRPr="00B24C74">
        <w:t xml:space="preserve"> prospective outcome study, this procedure is not recommended for mechanical low back pain.</w:t>
      </w:r>
      <w:r w:rsidR="00A02B97">
        <w:t xml:space="preserve"> </w:t>
      </w:r>
      <w:r w:rsidR="00DD0375" w:rsidRPr="000233A4">
        <w:rPr>
          <w:color w:val="000000"/>
          <w:vertAlign w:val="superscript"/>
        </w:rPr>
        <w:t>12</w:t>
      </w:r>
      <w:r w:rsidR="00DD0375">
        <w:t xml:space="preserve">  </w:t>
      </w:r>
    </w:p>
    <w:p w14:paraId="59B06568" w14:textId="77777777" w:rsidR="00801B63" w:rsidRDefault="00801B63" w:rsidP="00883095">
      <w:pPr>
        <w:rPr>
          <w:i/>
        </w:rPr>
      </w:pPr>
    </w:p>
    <w:p w14:paraId="59B06569" w14:textId="77777777" w:rsidR="00FD2CD2" w:rsidRPr="0079147D" w:rsidRDefault="00FD2CD2" w:rsidP="00205F3F">
      <w:pPr>
        <w:rPr>
          <w:i/>
        </w:rPr>
      </w:pPr>
      <w:r w:rsidRPr="0079147D">
        <w:rPr>
          <w:i/>
        </w:rPr>
        <w:t xml:space="preserve">American Association of Neurological Surgeons (AANS) </w:t>
      </w:r>
    </w:p>
    <w:p w14:paraId="59B0656A" w14:textId="77777777" w:rsidR="00FD2CD2" w:rsidRPr="0053409A" w:rsidRDefault="00FD2CD2" w:rsidP="00205F3F">
      <w:r>
        <w:t>At the C</w:t>
      </w:r>
      <w:r w:rsidR="005051AF">
        <w:t xml:space="preserve">urrent </w:t>
      </w:r>
      <w:r>
        <w:t>P</w:t>
      </w:r>
      <w:r w:rsidR="005051AF">
        <w:t xml:space="preserve">rocedural </w:t>
      </w:r>
      <w:r>
        <w:t>T</w:t>
      </w:r>
      <w:r w:rsidR="005051AF">
        <w:t>erminology (CPT</w:t>
      </w:r>
      <w:r w:rsidR="005051AF" w:rsidRPr="005051AF">
        <w:rPr>
          <w:vertAlign w:val="superscript"/>
        </w:rPr>
        <w:t>®</w:t>
      </w:r>
      <w:r w:rsidR="005051AF" w:rsidRPr="005051AF">
        <w:t>)</w:t>
      </w:r>
      <w:r>
        <w:t xml:space="preserve"> Editorial Panel meeting, the American Association of Neurological </w:t>
      </w:r>
      <w:r w:rsidRPr="0079147D">
        <w:t xml:space="preserve">Surgeons and Congress of Neurological Surgeons presented </w:t>
      </w:r>
      <w:r>
        <w:t xml:space="preserve">the following </w:t>
      </w:r>
      <w:r w:rsidRPr="0079147D">
        <w:t>proposal</w:t>
      </w:r>
      <w:r>
        <w:t xml:space="preserve">: </w:t>
      </w:r>
      <w:r w:rsidRPr="0079147D">
        <w:t xml:space="preserve">for a new Category I CPT code for minimally invasive sacroiliac joint fusion. The new code was approved and </w:t>
      </w:r>
      <w:r w:rsidR="000F53E2">
        <w:t>went</w:t>
      </w:r>
      <w:r w:rsidRPr="0079147D">
        <w:t xml:space="preserve"> into effect on January 1, 2015, replacing the </w:t>
      </w:r>
      <w:r w:rsidR="000F53E2">
        <w:t>previous</w:t>
      </w:r>
      <w:r w:rsidRPr="0079147D">
        <w:t xml:space="preserve"> Category III code 0334T. CPT code 27280</w:t>
      </w:r>
      <w:r w:rsidR="0053409A">
        <w:t xml:space="preserve"> </w:t>
      </w:r>
      <w:r w:rsidR="000F53E2">
        <w:t>was</w:t>
      </w:r>
      <w:r w:rsidRPr="0079147D">
        <w:t xml:space="preserve"> revised to clarify that it is for open procedures only.</w:t>
      </w:r>
      <w:r w:rsidR="00801B63">
        <w:rPr>
          <w:vertAlign w:val="superscript"/>
        </w:rPr>
        <w:t xml:space="preserve"> </w:t>
      </w:r>
      <w:r w:rsidR="00F042F5">
        <w:rPr>
          <w:vertAlign w:val="superscript"/>
        </w:rPr>
        <w:t>2</w:t>
      </w:r>
    </w:p>
    <w:p w14:paraId="59B0656B" w14:textId="77777777" w:rsidR="00801B63" w:rsidRDefault="00801B63" w:rsidP="00205F3F">
      <w:pPr>
        <w:rPr>
          <w:i/>
        </w:rPr>
      </w:pPr>
    </w:p>
    <w:p w14:paraId="59B0656C" w14:textId="77777777" w:rsidR="00FD2CD2" w:rsidRPr="00D7745E" w:rsidRDefault="00FD2CD2" w:rsidP="00205F3F">
      <w:pPr>
        <w:rPr>
          <w:i/>
          <w:vertAlign w:val="superscript"/>
        </w:rPr>
      </w:pPr>
      <w:r w:rsidRPr="00D7745E">
        <w:rPr>
          <w:i/>
        </w:rPr>
        <w:t>International Society for the Advancement of Spine Surgery (ISASS)</w:t>
      </w:r>
    </w:p>
    <w:p w14:paraId="59B0656D" w14:textId="77777777" w:rsidR="00FD2CD2" w:rsidRPr="00801B63" w:rsidRDefault="00FD2CD2" w:rsidP="00205F3F">
      <w:pPr>
        <w:rPr>
          <w:vertAlign w:val="superscript"/>
        </w:rPr>
      </w:pPr>
      <w:r>
        <w:t>I</w:t>
      </w:r>
      <w:r w:rsidRPr="00D7745E">
        <w:t>SASS published a policy statement on minimally invasive sacroiliac joint fusion</w:t>
      </w:r>
      <w:r>
        <w:t xml:space="preserve">, with </w:t>
      </w:r>
      <w:r w:rsidRPr="00D7745E">
        <w:t xml:space="preserve">criteria for determining a patient’s eligibility regarding minimally invasive SI joint fusion. </w:t>
      </w:r>
      <w:r w:rsidR="00526EE9">
        <w:t>S</w:t>
      </w:r>
      <w:r w:rsidRPr="00D7745E">
        <w:t xml:space="preserve">everal limitations </w:t>
      </w:r>
      <w:r w:rsidR="002E0B3E">
        <w:t xml:space="preserve">of their recommendations </w:t>
      </w:r>
      <w:r w:rsidRPr="00D7745E">
        <w:t>includ</w:t>
      </w:r>
      <w:r w:rsidR="005051AF">
        <w:t>e,</w:t>
      </w:r>
      <w:r w:rsidRPr="00D7745E">
        <w:t xml:space="preserve"> but</w:t>
      </w:r>
      <w:r w:rsidR="005051AF">
        <w:t xml:space="preserve"> are </w:t>
      </w:r>
      <w:r w:rsidRPr="00D7745E">
        <w:t>not limited to</w:t>
      </w:r>
      <w:r w:rsidR="005051AF">
        <w:t xml:space="preserve">: </w:t>
      </w:r>
      <w:r w:rsidRPr="00D7745E">
        <w:t>the literature review method</w:t>
      </w:r>
      <w:r w:rsidR="00526EE9">
        <w:t xml:space="preserve">, </w:t>
      </w:r>
      <w:r w:rsidR="005051AF">
        <w:t>lack of</w:t>
      </w:r>
      <w:r w:rsidRPr="00D7745E">
        <w:t xml:space="preserve"> formal assessment of the quality of the evidence, and </w:t>
      </w:r>
      <w:r w:rsidR="00526EE9">
        <w:t>no</w:t>
      </w:r>
      <w:r w:rsidRPr="00D7745E">
        <w:t xml:space="preserve"> clear link between the recommendations for fusion with supporting evidence.</w:t>
      </w:r>
      <w:r w:rsidR="00801B63" w:rsidRPr="00801B63">
        <w:rPr>
          <w:vertAlign w:val="superscript"/>
        </w:rPr>
        <w:t>8</w:t>
      </w:r>
      <w:r w:rsidR="00B81322">
        <w:rPr>
          <w:vertAlign w:val="superscript"/>
        </w:rPr>
        <w:t>,21</w:t>
      </w:r>
    </w:p>
    <w:p w14:paraId="59B0656E" w14:textId="77777777" w:rsidR="00DA130E" w:rsidRDefault="00DA130E" w:rsidP="0006400A">
      <w:pPr>
        <w:rPr>
          <w:i/>
        </w:rPr>
      </w:pPr>
    </w:p>
    <w:p w14:paraId="59B0656F" w14:textId="77777777" w:rsidR="00FD2CD2" w:rsidRPr="00A77A0C" w:rsidRDefault="00FD2CD2" w:rsidP="0006400A">
      <w:pPr>
        <w:rPr>
          <w:i/>
        </w:rPr>
      </w:pPr>
      <w:r w:rsidRPr="00A77A0C">
        <w:rPr>
          <w:i/>
        </w:rPr>
        <w:t>North American Spine Society (NASS)</w:t>
      </w:r>
    </w:p>
    <w:p w14:paraId="59B06570" w14:textId="77777777" w:rsidR="00FD2CD2" w:rsidRPr="00801B63" w:rsidRDefault="00FD2CD2" w:rsidP="0006400A">
      <w:pPr>
        <w:rPr>
          <w:vertAlign w:val="superscript"/>
        </w:rPr>
      </w:pPr>
      <w:r>
        <w:t>NASS</w:t>
      </w:r>
      <w:r w:rsidRPr="0006400A">
        <w:t xml:space="preserve"> </w:t>
      </w:r>
      <w:r>
        <w:t>recommends per</w:t>
      </w:r>
      <w:r w:rsidRPr="0006400A">
        <w:t xml:space="preserve">cutaneous </w:t>
      </w:r>
      <w:r>
        <w:t>sacroiliac joint (SIJ)</w:t>
      </w:r>
      <w:r w:rsidRPr="0006400A">
        <w:t xml:space="preserve"> fusion</w:t>
      </w:r>
      <w:r>
        <w:t xml:space="preserve"> for the treatment of sacroiliac joint pain for patients with low back/buttock pain who meet </w:t>
      </w:r>
      <w:r w:rsidR="00DA130E">
        <w:t>specific</w:t>
      </w:r>
      <w:r w:rsidRPr="0006400A">
        <w:t xml:space="preserve"> criteria</w:t>
      </w:r>
      <w:r w:rsidR="00DA130E">
        <w:t xml:space="preserve">. </w:t>
      </w:r>
      <w:r w:rsidR="00801B63" w:rsidRPr="00801B63">
        <w:rPr>
          <w:vertAlign w:val="superscript"/>
        </w:rPr>
        <w:t>9</w:t>
      </w:r>
    </w:p>
    <w:p w14:paraId="59B06571" w14:textId="77777777" w:rsidR="00FD2CD2" w:rsidRPr="0006400A" w:rsidRDefault="00FD2CD2" w:rsidP="0006400A">
      <w:pPr>
        <w:rPr>
          <w:i/>
        </w:rPr>
      </w:pPr>
    </w:p>
    <w:p w14:paraId="59B06572" w14:textId="77777777" w:rsidR="00FD2CD2" w:rsidRPr="00B777AF" w:rsidRDefault="00FD2CD2" w:rsidP="00170B14">
      <w:pPr>
        <w:rPr>
          <w:b/>
        </w:rPr>
      </w:pPr>
      <w:bookmarkStart w:id="1" w:name="Coding_Implications"/>
      <w:r w:rsidRPr="00B777AF">
        <w:rPr>
          <w:b/>
        </w:rPr>
        <w:t>Coding Implications</w:t>
      </w:r>
    </w:p>
    <w:bookmarkEnd w:id="1"/>
    <w:p w14:paraId="59B06573" w14:textId="1AE83012" w:rsidR="00FD2CD2" w:rsidRDefault="00FD2CD2" w:rsidP="00AF5490">
      <w:r w:rsidRPr="00507DC0">
        <w:lastRenderedPageBreak/>
        <w:t xml:space="preserve">This </w:t>
      </w:r>
      <w:r>
        <w:t xml:space="preserve">clinical </w:t>
      </w:r>
      <w:r w:rsidRPr="00507DC0">
        <w:t>policy references Current Procedural Terminology (CPT</w:t>
      </w:r>
      <w:r w:rsidRPr="00DD6ADB">
        <w:rPr>
          <w:vertAlign w:val="superscript"/>
        </w:rPr>
        <w:t>®</w:t>
      </w:r>
      <w:r w:rsidRPr="00507DC0">
        <w:t>). CPT</w:t>
      </w:r>
      <w:r w:rsidRPr="00DD6ADB">
        <w:rPr>
          <w:vertAlign w:val="superscript"/>
        </w:rPr>
        <w:t>®</w:t>
      </w:r>
      <w:r w:rsidRPr="00507DC0">
        <w:t xml:space="preserve"> is a registered trademark of the Americ</w:t>
      </w:r>
      <w:r>
        <w:t>an Medical Association. All CPT</w:t>
      </w:r>
      <w:r w:rsidRPr="00507DC0">
        <w:t xml:space="preserve"> codes and descriptions are copyrighted </w:t>
      </w:r>
      <w:r w:rsidR="00F46A72" w:rsidRPr="00507DC0">
        <w:t>201</w:t>
      </w:r>
      <w:r w:rsidR="00F46A72">
        <w:t>9</w:t>
      </w:r>
      <w:r w:rsidRPr="00507DC0">
        <w:t>, American Medical Association. All rights reserved. CPT</w:t>
      </w:r>
      <w:r>
        <w:t xml:space="preserve"> codes and CPT</w:t>
      </w:r>
      <w:r w:rsidRPr="00507DC0">
        <w:t xml:space="preserve"> descriptions are from </w:t>
      </w:r>
      <w:r>
        <w:t xml:space="preserve">the </w:t>
      </w:r>
      <w:r w:rsidRPr="00507DC0">
        <w:t xml:space="preserve">current manuals and those included herein are not intended to be all-inclusive and are included for informational purposes only. </w:t>
      </w:r>
      <w:r w:rsidRPr="00E7516C">
        <w:t xml:space="preserve"> </w:t>
      </w:r>
      <w:r w:rsidRPr="005E117C">
        <w:t>Codes</w:t>
      </w:r>
      <w:r>
        <w:t xml:space="preserve"> referenced in this c</w:t>
      </w:r>
      <w:r w:rsidRPr="005E117C">
        <w:t xml:space="preserve">linical </w:t>
      </w:r>
      <w:r>
        <w:t>p</w:t>
      </w:r>
      <w:r w:rsidRPr="005E117C">
        <w:t>olicy are for informational purposes only.  Inclusion or exclusion of any codes does not guarantee coverage.  Providers should reference the most up-to-date sources of professional coding guidance prior to the submission of claims for reimbursement of covered services.</w:t>
      </w:r>
    </w:p>
    <w:p w14:paraId="59B06574" w14:textId="77777777" w:rsidR="00FD2CD2" w:rsidRPr="00A85489" w:rsidRDefault="00FD2CD2" w:rsidP="00AF5490"/>
    <w:tbl>
      <w:tblPr>
        <w:tblW w:w="47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109"/>
        <w:gridCol w:w="7815"/>
      </w:tblGrid>
      <w:tr w:rsidR="00FD2CD2" w:rsidRPr="00B777AF" w14:paraId="59B06577" w14:textId="77777777" w:rsidTr="00B758C7">
        <w:trPr>
          <w:tblHeader/>
        </w:trPr>
        <w:tc>
          <w:tcPr>
            <w:tcW w:w="1118" w:type="dxa"/>
            <w:shd w:val="clear" w:color="auto" w:fill="00548C"/>
          </w:tcPr>
          <w:p w14:paraId="59B06575" w14:textId="77777777" w:rsidR="00FD2CD2" w:rsidRPr="00601843" w:rsidRDefault="00FD2CD2" w:rsidP="00C10DF0">
            <w:pPr>
              <w:rPr>
                <w:b/>
                <w:bCs/>
                <w:color w:val="FFFFFF"/>
              </w:rPr>
            </w:pPr>
            <w:r w:rsidRPr="00601843">
              <w:rPr>
                <w:b/>
                <w:color w:val="FFFFFF"/>
              </w:rPr>
              <w:t>CPT</w:t>
            </w:r>
            <w:r w:rsidRPr="00601843">
              <w:rPr>
                <w:b/>
                <w:color w:val="FFFFFF"/>
                <w:vertAlign w:val="superscript"/>
              </w:rPr>
              <w:t>®</w:t>
            </w:r>
            <w:r w:rsidRPr="00601843">
              <w:rPr>
                <w:b/>
                <w:color w:val="FFFFFF"/>
              </w:rPr>
              <w:t xml:space="preserve"> Codes </w:t>
            </w:r>
          </w:p>
        </w:tc>
        <w:tc>
          <w:tcPr>
            <w:tcW w:w="8021" w:type="dxa"/>
            <w:shd w:val="clear" w:color="auto" w:fill="00548C"/>
          </w:tcPr>
          <w:p w14:paraId="59B06576" w14:textId="77777777" w:rsidR="00FD2CD2" w:rsidRPr="00601843" w:rsidRDefault="00FD2CD2" w:rsidP="00C10DF0">
            <w:pPr>
              <w:rPr>
                <w:b/>
                <w:bCs/>
                <w:color w:val="FFFFFF"/>
              </w:rPr>
            </w:pPr>
            <w:r w:rsidRPr="00601843">
              <w:rPr>
                <w:b/>
                <w:color w:val="FFFFFF"/>
              </w:rPr>
              <w:t>Description</w:t>
            </w:r>
          </w:p>
        </w:tc>
      </w:tr>
      <w:tr w:rsidR="00FD2CD2" w:rsidRPr="005144C0" w14:paraId="59B0657A" w14:textId="77777777" w:rsidTr="00B758C7">
        <w:tc>
          <w:tcPr>
            <w:tcW w:w="1118" w:type="dxa"/>
          </w:tcPr>
          <w:p w14:paraId="59B06578" w14:textId="77777777" w:rsidR="00FD2CD2" w:rsidRPr="005E58DB" w:rsidRDefault="00FD2CD2" w:rsidP="00EC11F5">
            <w:pPr>
              <w:rPr>
                <w:color w:val="000000"/>
                <w:szCs w:val="20"/>
              </w:rPr>
            </w:pPr>
            <w:r w:rsidRPr="005E58DB">
              <w:rPr>
                <w:color w:val="000000"/>
                <w:szCs w:val="20"/>
              </w:rPr>
              <w:t>27279</w:t>
            </w:r>
          </w:p>
        </w:tc>
        <w:tc>
          <w:tcPr>
            <w:tcW w:w="8021" w:type="dxa"/>
          </w:tcPr>
          <w:p w14:paraId="59B06579" w14:textId="77777777" w:rsidR="00FD2CD2" w:rsidRPr="005E58DB" w:rsidRDefault="00FD2CD2" w:rsidP="0053409A">
            <w:pPr>
              <w:ind w:firstLine="38"/>
              <w:rPr>
                <w:b/>
                <w:color w:val="000000"/>
              </w:rPr>
            </w:pPr>
            <w:r w:rsidRPr="005E58DB">
              <w:rPr>
                <w:color w:val="000000"/>
                <w:szCs w:val="20"/>
              </w:rPr>
              <w:t xml:space="preserve">Arthrodesis, </w:t>
            </w:r>
            <w:r w:rsidRPr="005E58DB">
              <w:rPr>
                <w:bCs/>
                <w:color w:val="000000"/>
              </w:rPr>
              <w:t xml:space="preserve">sacroiliac joint, percutaneous or minimally invasive (indirect visualization), with image guidance, includes obtaining bone graft when performed, and placement of transfixing device  </w:t>
            </w:r>
          </w:p>
        </w:tc>
      </w:tr>
      <w:tr w:rsidR="00FD2CD2" w:rsidRPr="005144C0" w14:paraId="59B0657D" w14:textId="77777777" w:rsidTr="00B758C7">
        <w:tc>
          <w:tcPr>
            <w:tcW w:w="1118" w:type="dxa"/>
          </w:tcPr>
          <w:p w14:paraId="59B0657B" w14:textId="77777777" w:rsidR="00FD2CD2" w:rsidRPr="00B758C7" w:rsidRDefault="00FD2CD2" w:rsidP="00EC11F5">
            <w:pPr>
              <w:pStyle w:val="Heading3"/>
              <w:rPr>
                <w:b w:val="0"/>
                <w:bCs w:val="0"/>
                <w:color w:val="000000"/>
              </w:rPr>
            </w:pPr>
            <w:r w:rsidRPr="00B758C7">
              <w:rPr>
                <w:b w:val="0"/>
                <w:bCs w:val="0"/>
                <w:color w:val="000000"/>
              </w:rPr>
              <w:t>27280</w:t>
            </w:r>
          </w:p>
        </w:tc>
        <w:tc>
          <w:tcPr>
            <w:tcW w:w="8021" w:type="dxa"/>
          </w:tcPr>
          <w:p w14:paraId="59B0657C" w14:textId="77777777" w:rsidR="00FD2CD2" w:rsidRPr="00B758C7" w:rsidRDefault="00FD2CD2" w:rsidP="0053409A">
            <w:pPr>
              <w:pStyle w:val="Heading3"/>
              <w:ind w:firstLine="38"/>
              <w:rPr>
                <w:b w:val="0"/>
                <w:bCs w:val="0"/>
                <w:color w:val="000000"/>
              </w:rPr>
            </w:pPr>
            <w:r w:rsidRPr="00B758C7">
              <w:rPr>
                <w:b w:val="0"/>
                <w:color w:val="000000"/>
              </w:rPr>
              <w:t xml:space="preserve">Arthrodesis, open, </w:t>
            </w:r>
            <w:r w:rsidRPr="00B758C7">
              <w:rPr>
                <w:b w:val="0"/>
                <w:bCs w:val="0"/>
                <w:color w:val="000000"/>
              </w:rPr>
              <w:t xml:space="preserve">sacroiliac joint, including obtaining bone graft, including instrumentation, when performed </w:t>
            </w:r>
          </w:p>
        </w:tc>
      </w:tr>
    </w:tbl>
    <w:p w14:paraId="59B0657E" w14:textId="77777777" w:rsidR="00FD2CD2" w:rsidRDefault="00FD2CD2" w:rsidP="00AF5490"/>
    <w:tbl>
      <w:tblPr>
        <w:tblW w:w="47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127"/>
        <w:gridCol w:w="7797"/>
      </w:tblGrid>
      <w:tr w:rsidR="00FD2CD2" w:rsidRPr="00B777AF" w14:paraId="59B06581" w14:textId="77777777" w:rsidTr="00601843">
        <w:trPr>
          <w:tblHeader/>
        </w:trPr>
        <w:tc>
          <w:tcPr>
            <w:tcW w:w="1138" w:type="dxa"/>
            <w:shd w:val="clear" w:color="auto" w:fill="00548C"/>
          </w:tcPr>
          <w:p w14:paraId="59B0657F" w14:textId="77777777" w:rsidR="00FD2CD2" w:rsidRPr="00601843" w:rsidRDefault="00FD2CD2" w:rsidP="00556CBA">
            <w:pPr>
              <w:rPr>
                <w:b/>
                <w:bCs/>
                <w:color w:val="FFFFFF"/>
              </w:rPr>
            </w:pPr>
            <w:r w:rsidRPr="00601843">
              <w:rPr>
                <w:b/>
                <w:color w:val="FFFFFF"/>
              </w:rPr>
              <w:t xml:space="preserve">HCPCS Codes </w:t>
            </w:r>
          </w:p>
        </w:tc>
        <w:tc>
          <w:tcPr>
            <w:tcW w:w="8510" w:type="dxa"/>
            <w:shd w:val="clear" w:color="auto" w:fill="00548C"/>
          </w:tcPr>
          <w:p w14:paraId="59B06580" w14:textId="77777777" w:rsidR="00FD2CD2" w:rsidRPr="00601843" w:rsidRDefault="00FD2CD2" w:rsidP="00556CBA">
            <w:pPr>
              <w:rPr>
                <w:b/>
                <w:bCs/>
                <w:color w:val="FFFFFF"/>
              </w:rPr>
            </w:pPr>
            <w:r w:rsidRPr="00601843">
              <w:rPr>
                <w:b/>
                <w:color w:val="FFFFFF"/>
              </w:rPr>
              <w:t>Description</w:t>
            </w:r>
          </w:p>
        </w:tc>
      </w:tr>
      <w:tr w:rsidR="00FD2CD2" w:rsidRPr="005144C0" w14:paraId="59B06584" w14:textId="77777777" w:rsidTr="00601843">
        <w:tc>
          <w:tcPr>
            <w:tcW w:w="1138" w:type="dxa"/>
          </w:tcPr>
          <w:p w14:paraId="59B06582" w14:textId="77777777" w:rsidR="00FD2CD2" w:rsidRPr="00601843" w:rsidRDefault="00FD2CD2" w:rsidP="00556CBA">
            <w:pPr>
              <w:rPr>
                <w:bCs/>
              </w:rPr>
            </w:pPr>
            <w:r>
              <w:rPr>
                <w:bCs/>
              </w:rPr>
              <w:t>N/A</w:t>
            </w:r>
          </w:p>
        </w:tc>
        <w:tc>
          <w:tcPr>
            <w:tcW w:w="8510" w:type="dxa"/>
          </w:tcPr>
          <w:p w14:paraId="59B06583" w14:textId="77777777" w:rsidR="00FD2CD2" w:rsidRPr="00601843" w:rsidRDefault="00FD2CD2" w:rsidP="00556CBA">
            <w:pPr>
              <w:rPr>
                <w:bCs/>
              </w:rPr>
            </w:pPr>
          </w:p>
        </w:tc>
      </w:tr>
    </w:tbl>
    <w:p w14:paraId="59B06585" w14:textId="77777777" w:rsidR="00FD2CD2" w:rsidRDefault="00FD2CD2" w:rsidP="00AF5490"/>
    <w:p w14:paraId="59B06586" w14:textId="77777777" w:rsidR="00FD2CD2" w:rsidRPr="00350F22" w:rsidRDefault="00FD2CD2" w:rsidP="00AF5490">
      <w:pPr>
        <w:rPr>
          <w:b/>
        </w:rPr>
      </w:pPr>
      <w:r w:rsidRPr="00350F22">
        <w:rPr>
          <w:b/>
        </w:rPr>
        <w:t>ICD-10-CM Diagnosis Codes that Support Coverage Criteria</w:t>
      </w:r>
    </w:p>
    <w:tbl>
      <w:tblPr>
        <w:tblW w:w="47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245"/>
        <w:gridCol w:w="6679"/>
      </w:tblGrid>
      <w:tr w:rsidR="00FD2CD2" w:rsidRPr="00B777AF" w14:paraId="59B06589" w14:textId="77777777" w:rsidTr="00D422E8">
        <w:trPr>
          <w:tblHeader/>
        </w:trPr>
        <w:tc>
          <w:tcPr>
            <w:tcW w:w="2245" w:type="dxa"/>
            <w:shd w:val="clear" w:color="auto" w:fill="00548C"/>
          </w:tcPr>
          <w:p w14:paraId="59B06587" w14:textId="77777777" w:rsidR="00FD2CD2" w:rsidRPr="00601843" w:rsidRDefault="00FD2CD2" w:rsidP="00350F22">
            <w:pPr>
              <w:rPr>
                <w:b/>
                <w:bCs/>
                <w:color w:val="FFFFFF"/>
              </w:rPr>
            </w:pPr>
            <w:r w:rsidRPr="00601843">
              <w:rPr>
                <w:b/>
                <w:color w:val="FFFFFF"/>
              </w:rPr>
              <w:t>ICD-10-CM Code</w:t>
            </w:r>
          </w:p>
        </w:tc>
        <w:tc>
          <w:tcPr>
            <w:tcW w:w="6679" w:type="dxa"/>
            <w:shd w:val="clear" w:color="auto" w:fill="00548C"/>
          </w:tcPr>
          <w:p w14:paraId="59B06588" w14:textId="77777777" w:rsidR="00FD2CD2" w:rsidRPr="00601843" w:rsidRDefault="00FD2CD2" w:rsidP="00F91367">
            <w:pPr>
              <w:rPr>
                <w:b/>
                <w:bCs/>
                <w:color w:val="FFFFFF"/>
              </w:rPr>
            </w:pPr>
            <w:r w:rsidRPr="00601843">
              <w:rPr>
                <w:b/>
                <w:color w:val="FFFFFF"/>
              </w:rPr>
              <w:t>Description</w:t>
            </w:r>
          </w:p>
        </w:tc>
      </w:tr>
      <w:tr w:rsidR="001C16EA" w:rsidRPr="005144C0" w14:paraId="627EDDFA" w14:textId="77777777" w:rsidTr="00D422E8">
        <w:tc>
          <w:tcPr>
            <w:tcW w:w="2245" w:type="dxa"/>
          </w:tcPr>
          <w:p w14:paraId="77E88F16" w14:textId="2997265D" w:rsidR="001C16EA" w:rsidRPr="009577A1" w:rsidRDefault="001C16EA" w:rsidP="001C16EA">
            <w:pPr>
              <w:rPr>
                <w:szCs w:val="20"/>
              </w:rPr>
            </w:pPr>
            <w:r w:rsidRPr="002A07D8">
              <w:rPr>
                <w:szCs w:val="20"/>
              </w:rPr>
              <w:t>C41.4</w:t>
            </w:r>
          </w:p>
        </w:tc>
        <w:tc>
          <w:tcPr>
            <w:tcW w:w="6679" w:type="dxa"/>
          </w:tcPr>
          <w:p w14:paraId="2FC638D4" w14:textId="0C0C50FF" w:rsidR="001C16EA" w:rsidRPr="009577A1" w:rsidRDefault="001C16EA" w:rsidP="001C16EA">
            <w:pPr>
              <w:rPr>
                <w:szCs w:val="20"/>
              </w:rPr>
            </w:pPr>
            <w:r w:rsidRPr="007F6969">
              <w:rPr>
                <w:szCs w:val="20"/>
              </w:rPr>
              <w:t>Malignant neoplasm of pelvic bones, sacrum and coccyx</w:t>
            </w:r>
          </w:p>
        </w:tc>
      </w:tr>
      <w:tr w:rsidR="001C16EA" w:rsidRPr="005144C0" w14:paraId="05AD5DDC" w14:textId="77777777" w:rsidTr="00D422E8">
        <w:tc>
          <w:tcPr>
            <w:tcW w:w="2245" w:type="dxa"/>
          </w:tcPr>
          <w:p w14:paraId="37833614" w14:textId="7F32CC75" w:rsidR="001C16EA" w:rsidRPr="009577A1" w:rsidRDefault="001C16EA" w:rsidP="001C16EA">
            <w:pPr>
              <w:rPr>
                <w:szCs w:val="20"/>
              </w:rPr>
            </w:pPr>
            <w:r>
              <w:rPr>
                <w:szCs w:val="20"/>
              </w:rPr>
              <w:t>C79.51</w:t>
            </w:r>
          </w:p>
        </w:tc>
        <w:tc>
          <w:tcPr>
            <w:tcW w:w="6679" w:type="dxa"/>
          </w:tcPr>
          <w:p w14:paraId="3FBE6173" w14:textId="2F2F1596" w:rsidR="001C16EA" w:rsidRPr="009577A1" w:rsidRDefault="001C16EA" w:rsidP="001C16EA">
            <w:pPr>
              <w:rPr>
                <w:szCs w:val="20"/>
              </w:rPr>
            </w:pPr>
            <w:r w:rsidRPr="007F6969">
              <w:rPr>
                <w:szCs w:val="20"/>
              </w:rPr>
              <w:t>Secondary malignant neoplasm of bone</w:t>
            </w:r>
          </w:p>
        </w:tc>
      </w:tr>
      <w:tr w:rsidR="001C16EA" w:rsidRPr="005144C0" w14:paraId="4A0C471A" w14:textId="77777777" w:rsidTr="00D422E8">
        <w:tc>
          <w:tcPr>
            <w:tcW w:w="2245" w:type="dxa"/>
          </w:tcPr>
          <w:p w14:paraId="66F675AB" w14:textId="5ADBED8D" w:rsidR="001C16EA" w:rsidRPr="009577A1" w:rsidRDefault="001C16EA" w:rsidP="001C16EA">
            <w:pPr>
              <w:rPr>
                <w:szCs w:val="20"/>
              </w:rPr>
            </w:pPr>
            <w:r>
              <w:rPr>
                <w:szCs w:val="20"/>
              </w:rPr>
              <w:t>D16.8</w:t>
            </w:r>
          </w:p>
        </w:tc>
        <w:tc>
          <w:tcPr>
            <w:tcW w:w="6679" w:type="dxa"/>
          </w:tcPr>
          <w:p w14:paraId="180D1C88" w14:textId="2D4AF23E" w:rsidR="001C16EA" w:rsidRPr="009577A1" w:rsidRDefault="001C16EA" w:rsidP="001C16EA">
            <w:pPr>
              <w:rPr>
                <w:szCs w:val="20"/>
              </w:rPr>
            </w:pPr>
            <w:r w:rsidRPr="007F6969">
              <w:rPr>
                <w:szCs w:val="20"/>
              </w:rPr>
              <w:t>Benign neoplasm of pelvic bones, sacrum and coccyx</w:t>
            </w:r>
          </w:p>
        </w:tc>
      </w:tr>
      <w:tr w:rsidR="001C16EA" w:rsidRPr="005144C0" w14:paraId="69166FE8" w14:textId="77777777" w:rsidTr="00D422E8">
        <w:tc>
          <w:tcPr>
            <w:tcW w:w="2245" w:type="dxa"/>
          </w:tcPr>
          <w:p w14:paraId="0DF54B9F" w14:textId="1019C619" w:rsidR="001C16EA" w:rsidRPr="009577A1" w:rsidRDefault="001C16EA" w:rsidP="001C16EA">
            <w:pPr>
              <w:rPr>
                <w:szCs w:val="20"/>
              </w:rPr>
            </w:pPr>
            <w:r>
              <w:rPr>
                <w:szCs w:val="20"/>
              </w:rPr>
              <w:t>D48.0</w:t>
            </w:r>
          </w:p>
        </w:tc>
        <w:tc>
          <w:tcPr>
            <w:tcW w:w="6679" w:type="dxa"/>
          </w:tcPr>
          <w:p w14:paraId="1662D873" w14:textId="154A2BB5" w:rsidR="001C16EA" w:rsidRPr="009577A1" w:rsidRDefault="001C16EA" w:rsidP="001C16EA">
            <w:pPr>
              <w:rPr>
                <w:szCs w:val="20"/>
              </w:rPr>
            </w:pPr>
            <w:r w:rsidRPr="007F6969">
              <w:rPr>
                <w:szCs w:val="20"/>
              </w:rPr>
              <w:t>Neoplasm of uncertain behavior of bone and articular cartilage</w:t>
            </w:r>
          </w:p>
        </w:tc>
      </w:tr>
      <w:tr w:rsidR="001C16EA" w:rsidRPr="005144C0" w14:paraId="05A7BB47" w14:textId="77777777" w:rsidTr="00D422E8">
        <w:tc>
          <w:tcPr>
            <w:tcW w:w="2245" w:type="dxa"/>
          </w:tcPr>
          <w:p w14:paraId="63D5F3F6" w14:textId="111370D6" w:rsidR="001C16EA" w:rsidRPr="009577A1" w:rsidRDefault="001C16EA" w:rsidP="001C16EA">
            <w:pPr>
              <w:rPr>
                <w:szCs w:val="20"/>
              </w:rPr>
            </w:pPr>
            <w:r>
              <w:rPr>
                <w:szCs w:val="20"/>
              </w:rPr>
              <w:t>D49.2</w:t>
            </w:r>
          </w:p>
        </w:tc>
        <w:tc>
          <w:tcPr>
            <w:tcW w:w="6679" w:type="dxa"/>
          </w:tcPr>
          <w:p w14:paraId="21FD18A8" w14:textId="3AC536B8" w:rsidR="001C16EA" w:rsidRPr="009577A1" w:rsidRDefault="001C16EA" w:rsidP="001C16EA">
            <w:pPr>
              <w:rPr>
                <w:szCs w:val="20"/>
              </w:rPr>
            </w:pPr>
            <w:r w:rsidRPr="007F6969">
              <w:rPr>
                <w:szCs w:val="20"/>
              </w:rPr>
              <w:t>Neoplasm of unspecified behavior of bone, soft tissue, and skin</w:t>
            </w:r>
          </w:p>
        </w:tc>
      </w:tr>
      <w:tr w:rsidR="001C16EA" w:rsidRPr="005144C0" w14:paraId="59B0658C" w14:textId="77777777" w:rsidTr="00D422E8">
        <w:tc>
          <w:tcPr>
            <w:tcW w:w="2245" w:type="dxa"/>
          </w:tcPr>
          <w:p w14:paraId="59B0658A" w14:textId="77777777" w:rsidR="001C16EA" w:rsidRPr="009577A1" w:rsidRDefault="001C16EA" w:rsidP="001C16EA">
            <w:pPr>
              <w:rPr>
                <w:szCs w:val="20"/>
              </w:rPr>
            </w:pPr>
            <w:r w:rsidRPr="009577A1">
              <w:rPr>
                <w:szCs w:val="20"/>
              </w:rPr>
              <w:t>M43.27-M43.28</w:t>
            </w:r>
          </w:p>
        </w:tc>
        <w:tc>
          <w:tcPr>
            <w:tcW w:w="6679" w:type="dxa"/>
          </w:tcPr>
          <w:p w14:paraId="59B0658B" w14:textId="77777777" w:rsidR="001C16EA" w:rsidRPr="009577A1" w:rsidRDefault="001C16EA" w:rsidP="001C16EA">
            <w:pPr>
              <w:rPr>
                <w:szCs w:val="20"/>
              </w:rPr>
            </w:pPr>
            <w:r w:rsidRPr="009577A1">
              <w:rPr>
                <w:szCs w:val="20"/>
              </w:rPr>
              <w:t>Fusion of spine</w:t>
            </w:r>
            <w:r>
              <w:rPr>
                <w:szCs w:val="20"/>
              </w:rPr>
              <w:t>, lumbosacral to sacral and sacrococcygeal region</w:t>
            </w:r>
          </w:p>
        </w:tc>
      </w:tr>
      <w:tr w:rsidR="001C16EA" w:rsidRPr="005144C0" w14:paraId="59B0658F" w14:textId="77777777" w:rsidTr="00D422E8">
        <w:tc>
          <w:tcPr>
            <w:tcW w:w="2245" w:type="dxa"/>
          </w:tcPr>
          <w:p w14:paraId="59B0658D" w14:textId="77777777" w:rsidR="001C16EA" w:rsidRPr="009577A1" w:rsidRDefault="001C16EA" w:rsidP="001C16EA">
            <w:pPr>
              <w:rPr>
                <w:szCs w:val="20"/>
              </w:rPr>
            </w:pPr>
            <w:r>
              <w:rPr>
                <w:szCs w:val="20"/>
              </w:rPr>
              <w:t>M46.1</w:t>
            </w:r>
          </w:p>
        </w:tc>
        <w:tc>
          <w:tcPr>
            <w:tcW w:w="6679" w:type="dxa"/>
          </w:tcPr>
          <w:p w14:paraId="59B0658E" w14:textId="77777777" w:rsidR="001C16EA" w:rsidRPr="009577A1" w:rsidRDefault="001C16EA" w:rsidP="001C16EA">
            <w:pPr>
              <w:rPr>
                <w:szCs w:val="20"/>
              </w:rPr>
            </w:pPr>
            <w:r w:rsidRPr="00B81322">
              <w:rPr>
                <w:szCs w:val="20"/>
              </w:rPr>
              <w:t>Sacroiliitis, not elsewhere classified</w:t>
            </w:r>
          </w:p>
        </w:tc>
      </w:tr>
      <w:tr w:rsidR="001C16EA" w:rsidRPr="005144C0" w14:paraId="488E4D69" w14:textId="77777777" w:rsidTr="00D422E8">
        <w:tc>
          <w:tcPr>
            <w:tcW w:w="2245" w:type="dxa"/>
          </w:tcPr>
          <w:p w14:paraId="134FA6B9" w14:textId="49B7277A" w:rsidR="001C16EA" w:rsidRDefault="001C16EA" w:rsidP="001C16EA">
            <w:pPr>
              <w:rPr>
                <w:szCs w:val="20"/>
              </w:rPr>
            </w:pPr>
            <w:r>
              <w:rPr>
                <w:szCs w:val="20"/>
              </w:rPr>
              <w:t>M46.28</w:t>
            </w:r>
          </w:p>
        </w:tc>
        <w:tc>
          <w:tcPr>
            <w:tcW w:w="6679" w:type="dxa"/>
          </w:tcPr>
          <w:p w14:paraId="71BBB150" w14:textId="1AE8AC91" w:rsidR="001C16EA" w:rsidRPr="00B81322" w:rsidRDefault="001C16EA" w:rsidP="001C16EA">
            <w:pPr>
              <w:rPr>
                <w:szCs w:val="20"/>
              </w:rPr>
            </w:pPr>
            <w:r w:rsidRPr="007F6969">
              <w:rPr>
                <w:szCs w:val="20"/>
              </w:rPr>
              <w:t>Osteomyelitis of vertebra, sacral and sacrococcygeal region</w:t>
            </w:r>
          </w:p>
        </w:tc>
      </w:tr>
      <w:tr w:rsidR="001C16EA" w:rsidRPr="005144C0" w14:paraId="7918A007" w14:textId="77777777" w:rsidTr="00D422E8">
        <w:tc>
          <w:tcPr>
            <w:tcW w:w="2245" w:type="dxa"/>
          </w:tcPr>
          <w:p w14:paraId="73594255" w14:textId="43913DF5" w:rsidR="001C16EA" w:rsidRDefault="001C16EA" w:rsidP="001C16EA">
            <w:pPr>
              <w:rPr>
                <w:szCs w:val="20"/>
              </w:rPr>
            </w:pPr>
            <w:r>
              <w:rPr>
                <w:szCs w:val="20"/>
              </w:rPr>
              <w:t>M46.38</w:t>
            </w:r>
          </w:p>
        </w:tc>
        <w:tc>
          <w:tcPr>
            <w:tcW w:w="6679" w:type="dxa"/>
          </w:tcPr>
          <w:p w14:paraId="4252AF37" w14:textId="7F64F22D" w:rsidR="001C16EA" w:rsidRPr="00B81322" w:rsidRDefault="001C16EA" w:rsidP="001C16EA">
            <w:pPr>
              <w:rPr>
                <w:szCs w:val="20"/>
              </w:rPr>
            </w:pPr>
            <w:r w:rsidRPr="007F6969">
              <w:rPr>
                <w:szCs w:val="20"/>
              </w:rPr>
              <w:t>Infection of intervertebral disc (pyogenic), sacral and sacrococcygeal region</w:t>
            </w:r>
          </w:p>
        </w:tc>
      </w:tr>
      <w:tr w:rsidR="001C16EA" w:rsidRPr="005144C0" w14:paraId="59B06592" w14:textId="77777777" w:rsidTr="00D422E8">
        <w:tc>
          <w:tcPr>
            <w:tcW w:w="2245" w:type="dxa"/>
          </w:tcPr>
          <w:p w14:paraId="59B06590" w14:textId="77777777" w:rsidR="001C16EA" w:rsidRPr="009577A1" w:rsidRDefault="001C16EA" w:rsidP="001C16EA">
            <w:pPr>
              <w:rPr>
                <w:szCs w:val="20"/>
              </w:rPr>
            </w:pPr>
            <w:r>
              <w:rPr>
                <w:szCs w:val="20"/>
              </w:rPr>
              <w:t>M53.2X7-M53.2X8</w:t>
            </w:r>
          </w:p>
        </w:tc>
        <w:tc>
          <w:tcPr>
            <w:tcW w:w="6679" w:type="dxa"/>
          </w:tcPr>
          <w:p w14:paraId="59B06591" w14:textId="77777777" w:rsidR="001C16EA" w:rsidRPr="009577A1" w:rsidRDefault="001C16EA" w:rsidP="001C16EA">
            <w:pPr>
              <w:rPr>
                <w:szCs w:val="20"/>
              </w:rPr>
            </w:pPr>
            <w:r>
              <w:rPr>
                <w:szCs w:val="20"/>
              </w:rPr>
              <w:t>Spinal instabilities, lumbar – sacral and sacrococcygeal region</w:t>
            </w:r>
          </w:p>
        </w:tc>
      </w:tr>
      <w:tr w:rsidR="001C16EA" w:rsidRPr="005144C0" w14:paraId="59B06595" w14:textId="77777777" w:rsidTr="00D422E8">
        <w:tc>
          <w:tcPr>
            <w:tcW w:w="2245" w:type="dxa"/>
          </w:tcPr>
          <w:p w14:paraId="59B06593" w14:textId="77777777" w:rsidR="001C16EA" w:rsidRDefault="001C16EA" w:rsidP="001C16EA">
            <w:pPr>
              <w:rPr>
                <w:szCs w:val="20"/>
              </w:rPr>
            </w:pPr>
            <w:r>
              <w:rPr>
                <w:szCs w:val="20"/>
              </w:rPr>
              <w:t>M53.3</w:t>
            </w:r>
          </w:p>
        </w:tc>
        <w:tc>
          <w:tcPr>
            <w:tcW w:w="6679" w:type="dxa"/>
          </w:tcPr>
          <w:p w14:paraId="59B06594" w14:textId="77777777" w:rsidR="001C16EA" w:rsidRPr="009577A1" w:rsidRDefault="001C16EA" w:rsidP="001C16EA">
            <w:pPr>
              <w:rPr>
                <w:szCs w:val="20"/>
              </w:rPr>
            </w:pPr>
            <w:r w:rsidRPr="009577A1">
              <w:rPr>
                <w:szCs w:val="20"/>
              </w:rPr>
              <w:t>Sacrococcygeal disorders, not elsewhere classified</w:t>
            </w:r>
          </w:p>
        </w:tc>
      </w:tr>
      <w:tr w:rsidR="001C16EA" w:rsidRPr="005144C0" w14:paraId="0FC166EE" w14:textId="77777777" w:rsidTr="00D422E8">
        <w:tc>
          <w:tcPr>
            <w:tcW w:w="2245" w:type="dxa"/>
          </w:tcPr>
          <w:p w14:paraId="780DF352" w14:textId="15B1E517" w:rsidR="001C16EA" w:rsidRDefault="001C16EA" w:rsidP="001C16EA">
            <w:pPr>
              <w:rPr>
                <w:szCs w:val="20"/>
              </w:rPr>
            </w:pPr>
            <w:r>
              <w:rPr>
                <w:szCs w:val="20"/>
              </w:rPr>
              <w:t>S32.810A-S32.811S</w:t>
            </w:r>
          </w:p>
        </w:tc>
        <w:tc>
          <w:tcPr>
            <w:tcW w:w="6679" w:type="dxa"/>
          </w:tcPr>
          <w:p w14:paraId="4A3C8B86" w14:textId="2B146C46" w:rsidR="001C16EA" w:rsidRPr="009577A1" w:rsidRDefault="001C16EA" w:rsidP="001C16EA">
            <w:pPr>
              <w:rPr>
                <w:szCs w:val="20"/>
              </w:rPr>
            </w:pPr>
            <w:r w:rsidRPr="007F6969">
              <w:rPr>
                <w:szCs w:val="20"/>
              </w:rPr>
              <w:t>Multiple fractures of pelvis with stable disruption of pelvic ring</w:t>
            </w:r>
          </w:p>
        </w:tc>
      </w:tr>
    </w:tbl>
    <w:p w14:paraId="59B06596" w14:textId="77777777" w:rsidR="00FD2CD2" w:rsidRDefault="00FD2CD2" w:rsidP="00AF5490"/>
    <w:tbl>
      <w:tblPr>
        <w:tblW w:w="9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7578"/>
        <w:gridCol w:w="810"/>
        <w:gridCol w:w="1260"/>
      </w:tblGrid>
      <w:tr w:rsidR="00FD2CD2" w:rsidRPr="00B777AF" w14:paraId="59B0659A" w14:textId="77777777" w:rsidTr="00601843">
        <w:trPr>
          <w:tblHeader/>
        </w:trPr>
        <w:tc>
          <w:tcPr>
            <w:tcW w:w="7578" w:type="dxa"/>
            <w:tcBorders>
              <w:top w:val="single" w:sz="8" w:space="0" w:color="4F81BD"/>
            </w:tcBorders>
            <w:shd w:val="clear" w:color="auto" w:fill="00548C"/>
          </w:tcPr>
          <w:p w14:paraId="59B06597" w14:textId="77777777" w:rsidR="00FD2CD2" w:rsidRPr="00601843" w:rsidRDefault="00FD2CD2" w:rsidP="00B777AF">
            <w:pPr>
              <w:rPr>
                <w:b/>
                <w:bCs/>
                <w:color w:val="FFFFFF"/>
              </w:rPr>
            </w:pPr>
            <w:bookmarkStart w:id="2" w:name="Revision_Log"/>
            <w:r w:rsidRPr="00601843">
              <w:rPr>
                <w:b/>
                <w:color w:val="FFFFFF"/>
              </w:rPr>
              <w:t>Reviews, Revisions, and Approvals</w:t>
            </w:r>
            <w:bookmarkEnd w:id="2"/>
          </w:p>
        </w:tc>
        <w:tc>
          <w:tcPr>
            <w:tcW w:w="810" w:type="dxa"/>
            <w:shd w:val="clear" w:color="auto" w:fill="00548C"/>
          </w:tcPr>
          <w:p w14:paraId="59B06598" w14:textId="77777777" w:rsidR="00FD2CD2" w:rsidRPr="00601843" w:rsidRDefault="00FD2CD2" w:rsidP="00601843">
            <w:pPr>
              <w:jc w:val="center"/>
              <w:rPr>
                <w:b/>
                <w:bCs/>
                <w:color w:val="FFFFFF"/>
              </w:rPr>
            </w:pPr>
            <w:r w:rsidRPr="00601843">
              <w:rPr>
                <w:b/>
                <w:color w:val="FFFFFF"/>
              </w:rPr>
              <w:t>Date</w:t>
            </w:r>
          </w:p>
        </w:tc>
        <w:tc>
          <w:tcPr>
            <w:tcW w:w="1260" w:type="dxa"/>
            <w:tcBorders>
              <w:top w:val="single" w:sz="8" w:space="0" w:color="4F81BD"/>
            </w:tcBorders>
            <w:shd w:val="clear" w:color="auto" w:fill="00548C"/>
          </w:tcPr>
          <w:p w14:paraId="59B06599" w14:textId="77777777" w:rsidR="00FD2CD2" w:rsidRPr="00601843" w:rsidRDefault="00FD2CD2" w:rsidP="00601843">
            <w:pPr>
              <w:jc w:val="center"/>
              <w:rPr>
                <w:b/>
                <w:bCs/>
                <w:color w:val="FFFFFF"/>
              </w:rPr>
            </w:pPr>
            <w:r w:rsidRPr="00601843">
              <w:rPr>
                <w:b/>
                <w:color w:val="FFFFFF"/>
              </w:rPr>
              <w:t>Approval Date</w:t>
            </w:r>
          </w:p>
        </w:tc>
      </w:tr>
      <w:tr w:rsidR="00FD2CD2" w14:paraId="59B0659E" w14:textId="77777777" w:rsidTr="00601843">
        <w:tc>
          <w:tcPr>
            <w:tcW w:w="7578" w:type="dxa"/>
          </w:tcPr>
          <w:p w14:paraId="59B0659B" w14:textId="77777777" w:rsidR="00FD2CD2" w:rsidRDefault="00056EA0" w:rsidP="005051AF">
            <w:pPr>
              <w:tabs>
                <w:tab w:val="num" w:pos="720"/>
              </w:tabs>
            </w:pPr>
            <w:r>
              <w:t xml:space="preserve">New policy developed based </w:t>
            </w:r>
            <w:r w:rsidR="005051AF">
              <w:t>off of</w:t>
            </w:r>
            <w:r>
              <w:t xml:space="preserve"> Health Net policy NMP536 Sacroiliac Joint Fusion</w:t>
            </w:r>
            <w:r w:rsidR="005051AF">
              <w:t>.</w:t>
            </w:r>
          </w:p>
        </w:tc>
        <w:tc>
          <w:tcPr>
            <w:tcW w:w="810" w:type="dxa"/>
          </w:tcPr>
          <w:p w14:paraId="59B0659C" w14:textId="77777777" w:rsidR="00FD2CD2" w:rsidRDefault="00056EA0" w:rsidP="00601843">
            <w:pPr>
              <w:jc w:val="center"/>
            </w:pPr>
            <w:r>
              <w:t>09/16</w:t>
            </w:r>
          </w:p>
        </w:tc>
        <w:tc>
          <w:tcPr>
            <w:tcW w:w="1260" w:type="dxa"/>
          </w:tcPr>
          <w:p w14:paraId="59B0659D" w14:textId="77777777" w:rsidR="00FD2CD2" w:rsidRDefault="005051AF" w:rsidP="00601843">
            <w:pPr>
              <w:jc w:val="center"/>
            </w:pPr>
            <w:r>
              <w:t>09/16</w:t>
            </w:r>
          </w:p>
        </w:tc>
      </w:tr>
      <w:tr w:rsidR="00F869CC" w14:paraId="59B065A2" w14:textId="77777777" w:rsidTr="00601843">
        <w:tc>
          <w:tcPr>
            <w:tcW w:w="7578" w:type="dxa"/>
          </w:tcPr>
          <w:p w14:paraId="59B0659F" w14:textId="77777777" w:rsidR="00F869CC" w:rsidRDefault="00B81322" w:rsidP="00EB3A1B">
            <w:pPr>
              <w:tabs>
                <w:tab w:val="num" w:pos="720"/>
              </w:tabs>
            </w:pPr>
            <w:r>
              <w:t>References reviewed and updated.  Code</w:t>
            </w:r>
            <w:r w:rsidR="00EB3A1B">
              <w:t xml:space="preserve">s reviewed and </w:t>
            </w:r>
            <w:r>
              <w:t>update</w:t>
            </w:r>
            <w:r w:rsidR="00EB3A1B">
              <w:t>d</w:t>
            </w:r>
            <w:r w:rsidR="00764245">
              <w:t>.</w:t>
            </w:r>
          </w:p>
        </w:tc>
        <w:tc>
          <w:tcPr>
            <w:tcW w:w="810" w:type="dxa"/>
          </w:tcPr>
          <w:p w14:paraId="59B065A0" w14:textId="77777777" w:rsidR="00F869CC" w:rsidRDefault="00B81322" w:rsidP="00601843">
            <w:pPr>
              <w:jc w:val="center"/>
            </w:pPr>
            <w:r>
              <w:t>09/17</w:t>
            </w:r>
          </w:p>
        </w:tc>
        <w:tc>
          <w:tcPr>
            <w:tcW w:w="1260" w:type="dxa"/>
          </w:tcPr>
          <w:p w14:paraId="59B065A1" w14:textId="77777777" w:rsidR="00F869CC" w:rsidRDefault="00764245" w:rsidP="00601843">
            <w:pPr>
              <w:jc w:val="center"/>
            </w:pPr>
            <w:r>
              <w:t>09/17</w:t>
            </w:r>
          </w:p>
        </w:tc>
      </w:tr>
      <w:tr w:rsidR="00820F56" w14:paraId="59B065A6" w14:textId="77777777" w:rsidTr="00601843">
        <w:tc>
          <w:tcPr>
            <w:tcW w:w="7578" w:type="dxa"/>
          </w:tcPr>
          <w:p w14:paraId="59B065A3" w14:textId="77777777" w:rsidR="00820F56" w:rsidRDefault="00820F56" w:rsidP="00D422E8">
            <w:pPr>
              <w:tabs>
                <w:tab w:val="left" w:pos="3030"/>
              </w:tabs>
            </w:pPr>
            <w:r>
              <w:t xml:space="preserve">References reviewed and updated. </w:t>
            </w:r>
          </w:p>
        </w:tc>
        <w:tc>
          <w:tcPr>
            <w:tcW w:w="810" w:type="dxa"/>
          </w:tcPr>
          <w:p w14:paraId="59B065A4" w14:textId="77777777" w:rsidR="00820F56" w:rsidRDefault="00820F56" w:rsidP="00601843">
            <w:pPr>
              <w:jc w:val="center"/>
            </w:pPr>
            <w:r>
              <w:t>06/18</w:t>
            </w:r>
          </w:p>
        </w:tc>
        <w:tc>
          <w:tcPr>
            <w:tcW w:w="1260" w:type="dxa"/>
          </w:tcPr>
          <w:p w14:paraId="59B065A5" w14:textId="77777777" w:rsidR="00820F56" w:rsidRDefault="00DC2060" w:rsidP="00601843">
            <w:pPr>
              <w:jc w:val="center"/>
            </w:pPr>
            <w:r>
              <w:t>06/18</w:t>
            </w:r>
          </w:p>
        </w:tc>
      </w:tr>
      <w:tr w:rsidR="00F46A72" w14:paraId="271A9E74" w14:textId="77777777" w:rsidTr="00601843">
        <w:tc>
          <w:tcPr>
            <w:tcW w:w="7578" w:type="dxa"/>
          </w:tcPr>
          <w:p w14:paraId="0CA20EE0" w14:textId="450C4DB6" w:rsidR="00F46A72" w:rsidRDefault="00F46A72" w:rsidP="00D422E8">
            <w:pPr>
              <w:tabs>
                <w:tab w:val="left" w:pos="3030"/>
              </w:tabs>
            </w:pPr>
            <w:r>
              <w:lastRenderedPageBreak/>
              <w:t>References reviewed and updated.  Codes reviewed</w:t>
            </w:r>
            <w:r w:rsidR="001C16EA">
              <w:t xml:space="preserve"> and updated</w:t>
            </w:r>
            <w:r>
              <w:t>.</w:t>
            </w:r>
            <w:r w:rsidR="00DB0658">
              <w:t xml:space="preserve">  ICD-10 codes added:  </w:t>
            </w:r>
            <w:r w:rsidR="00DB0658" w:rsidRPr="002A07D8">
              <w:rPr>
                <w:szCs w:val="20"/>
              </w:rPr>
              <w:t>C41.4</w:t>
            </w:r>
            <w:r w:rsidR="00DB0658">
              <w:rPr>
                <w:szCs w:val="20"/>
              </w:rPr>
              <w:t>, C79.51, D16.8, D48.0, D49.2, M46.28, M46.38, and S32.810A-S32.811S.  Specialty review.</w:t>
            </w:r>
          </w:p>
        </w:tc>
        <w:tc>
          <w:tcPr>
            <w:tcW w:w="810" w:type="dxa"/>
          </w:tcPr>
          <w:p w14:paraId="40216C62" w14:textId="6916EB7F" w:rsidR="00F46A72" w:rsidRDefault="00F46A72" w:rsidP="00601843">
            <w:pPr>
              <w:jc w:val="center"/>
            </w:pPr>
            <w:r>
              <w:t>05/19</w:t>
            </w:r>
          </w:p>
        </w:tc>
        <w:tc>
          <w:tcPr>
            <w:tcW w:w="1260" w:type="dxa"/>
          </w:tcPr>
          <w:p w14:paraId="5D47D09A" w14:textId="56BB19CF" w:rsidR="00F46A72" w:rsidRDefault="00DC085F" w:rsidP="00601843">
            <w:pPr>
              <w:jc w:val="center"/>
            </w:pPr>
            <w:r>
              <w:t>06/19</w:t>
            </w:r>
          </w:p>
        </w:tc>
      </w:tr>
    </w:tbl>
    <w:p w14:paraId="59B065A7" w14:textId="77777777" w:rsidR="00FD2CD2" w:rsidRDefault="00FD2CD2" w:rsidP="00B777AF">
      <w:pPr>
        <w:pStyle w:val="Heading6"/>
        <w:tabs>
          <w:tab w:val="clear" w:pos="0"/>
        </w:tabs>
      </w:pPr>
    </w:p>
    <w:p w14:paraId="59B065A8" w14:textId="77777777" w:rsidR="00FD2CD2" w:rsidRDefault="00FD2CD2" w:rsidP="00963062">
      <w:pPr>
        <w:pStyle w:val="Heading3"/>
      </w:pPr>
      <w:r>
        <w:t>References</w:t>
      </w:r>
    </w:p>
    <w:p w14:paraId="59B065A9" w14:textId="79F671CE" w:rsidR="00FD2CD2" w:rsidRDefault="00F042F5" w:rsidP="00F042F5">
      <w:pPr>
        <w:pStyle w:val="ListParagraph"/>
        <w:numPr>
          <w:ilvl w:val="0"/>
          <w:numId w:val="31"/>
        </w:numPr>
      </w:pPr>
      <w:r w:rsidRPr="00F042F5">
        <w:t>American Association of Neurological Surgeons (AANS)</w:t>
      </w:r>
      <w:r>
        <w:t xml:space="preserve">, </w:t>
      </w:r>
      <w:r w:rsidR="00FD2CD2" w:rsidRPr="0079147D">
        <w:t>and CNS Support Minimally Invasive Sacroiliac Joint Fusion Code</w:t>
      </w:r>
      <w:r w:rsidR="00FD2CD2">
        <w:t xml:space="preserve">. Vol. 30, April 2014. Available at: </w:t>
      </w:r>
      <w:hyperlink r:id="rId15" w:history="1">
        <w:r w:rsidR="00FD2CD2" w:rsidRPr="0079147D">
          <w:rPr>
            <w:rStyle w:val="Hyperlink"/>
          </w:rPr>
          <w:t>https://www.aans.org/pdf/Legislative/Washington_E-newsletter/Washington_E-news_Vol30_2014.pdf</w:t>
        </w:r>
      </w:hyperlink>
      <w:r w:rsidR="00F46A72">
        <w:rPr>
          <w:rStyle w:val="Hyperlink"/>
        </w:rPr>
        <w:t xml:space="preserve">  Accessed 05/21/19.</w:t>
      </w:r>
    </w:p>
    <w:p w14:paraId="59B065AA" w14:textId="5888E3A7" w:rsidR="000E33C3" w:rsidRPr="00F0718C" w:rsidRDefault="00FA0CFC" w:rsidP="00F0718C">
      <w:pPr>
        <w:pStyle w:val="ListParagraph"/>
        <w:numPr>
          <w:ilvl w:val="0"/>
          <w:numId w:val="31"/>
        </w:numPr>
        <w:shd w:val="clear" w:color="auto" w:fill="FFFFFF"/>
        <w:outlineLvl w:val="0"/>
        <w:rPr>
          <w:rFonts w:cs="Arial"/>
          <w:b/>
          <w:bCs/>
          <w:color w:val="000000"/>
          <w:kern w:val="36"/>
          <w:szCs w:val="28"/>
        </w:rPr>
      </w:pPr>
      <w:hyperlink r:id="rId16" w:history="1">
        <w:r w:rsidR="000E33C3" w:rsidRPr="00F0718C">
          <w:rPr>
            <w:rFonts w:cs="Arial"/>
            <w:color w:val="000000" w:themeColor="text1"/>
            <w:szCs w:val="20"/>
          </w:rPr>
          <w:t>Chou R</w:t>
        </w:r>
      </w:hyperlink>
      <w:r w:rsidR="000E33C3" w:rsidRPr="00F0718C">
        <w:rPr>
          <w:rFonts w:cs="Arial"/>
          <w:color w:val="000000" w:themeColor="text1"/>
          <w:szCs w:val="20"/>
        </w:rPr>
        <w:t xml:space="preserve">, </w:t>
      </w:r>
      <w:hyperlink r:id="rId17" w:history="1">
        <w:r w:rsidR="000E33C3" w:rsidRPr="00F0718C">
          <w:rPr>
            <w:rFonts w:cs="Arial"/>
            <w:color w:val="000000" w:themeColor="text1"/>
            <w:szCs w:val="20"/>
          </w:rPr>
          <w:t>Loeser JD</w:t>
        </w:r>
      </w:hyperlink>
      <w:r w:rsidR="000E33C3" w:rsidRPr="00F0718C">
        <w:rPr>
          <w:rFonts w:cs="Arial"/>
          <w:color w:val="000000" w:themeColor="text1"/>
          <w:szCs w:val="20"/>
        </w:rPr>
        <w:t xml:space="preserve">, </w:t>
      </w:r>
      <w:hyperlink r:id="rId18" w:history="1">
        <w:r w:rsidR="000E33C3" w:rsidRPr="00F0718C">
          <w:rPr>
            <w:rFonts w:cs="Arial"/>
            <w:color w:val="000000" w:themeColor="text1"/>
            <w:szCs w:val="20"/>
          </w:rPr>
          <w:t>Owens DK</w:t>
        </w:r>
      </w:hyperlink>
      <w:r w:rsidR="000E33C3" w:rsidRPr="00F0718C">
        <w:rPr>
          <w:rFonts w:cs="Arial"/>
          <w:color w:val="000000" w:themeColor="text1"/>
          <w:szCs w:val="20"/>
        </w:rPr>
        <w:t>, et al. Interventional</w:t>
      </w:r>
      <w:r w:rsidR="000E33C3" w:rsidRPr="00F0718C">
        <w:rPr>
          <w:rFonts w:cs="Arial"/>
          <w:szCs w:val="20"/>
        </w:rPr>
        <w:t xml:space="preserve"> </w:t>
      </w:r>
      <w:r w:rsidR="000E33C3" w:rsidRPr="00F0718C">
        <w:rPr>
          <w:rFonts w:cs="Arial"/>
          <w:bCs/>
          <w:color w:val="000000"/>
          <w:kern w:val="36"/>
          <w:szCs w:val="28"/>
        </w:rPr>
        <w:t xml:space="preserve">therapies, surgery, and interdisciplinary rehabilitation for low back pain: an evidence-based clinical practice guideline from the American Pain Society. </w:t>
      </w:r>
      <w:r w:rsidR="000E33C3" w:rsidRPr="00F0718C">
        <w:rPr>
          <w:rFonts w:cs="Arial"/>
          <w:szCs w:val="20"/>
        </w:rPr>
        <w:t>2009 May 1;34(10):1066-77.</w:t>
      </w:r>
      <w:r w:rsidR="00E94970">
        <w:rPr>
          <w:rFonts w:cs="Arial"/>
          <w:szCs w:val="20"/>
        </w:rPr>
        <w:t xml:space="preserve">  Accessed 05/21/19.</w:t>
      </w:r>
    </w:p>
    <w:p w14:paraId="59B065AB" w14:textId="0650D21E" w:rsidR="00FD2CD2" w:rsidRDefault="00FD2CD2" w:rsidP="000F0721">
      <w:pPr>
        <w:pStyle w:val="ListParagraph"/>
        <w:numPr>
          <w:ilvl w:val="0"/>
          <w:numId w:val="31"/>
        </w:numPr>
      </w:pPr>
      <w:r>
        <w:t xml:space="preserve">Hayes. Health Technology Brief.  iFuse Implant System (SI-BONE Inc.) for Sacroiliac Joint Fusion for Treatment of Low Back Pain. </w:t>
      </w:r>
      <w:r w:rsidR="009F6F37">
        <w:t>Update</w:t>
      </w:r>
      <w:r w:rsidR="00E5063B">
        <w:t>d</w:t>
      </w:r>
      <w:r w:rsidR="009F6F37">
        <w:t xml:space="preserve"> Dec</w:t>
      </w:r>
      <w:r w:rsidR="00E5063B">
        <w:t>ember</w:t>
      </w:r>
      <w:r w:rsidR="009F6F37">
        <w:t xml:space="preserve"> 2016</w:t>
      </w:r>
      <w:r w:rsidR="00D41805">
        <w:t>.</w:t>
      </w:r>
    </w:p>
    <w:p w14:paraId="59B065AC" w14:textId="2D89DE04" w:rsidR="00D92A9D" w:rsidRDefault="00D92A9D" w:rsidP="000F0721">
      <w:pPr>
        <w:pStyle w:val="ListParagraph"/>
        <w:numPr>
          <w:ilvl w:val="0"/>
          <w:numId w:val="31"/>
        </w:numPr>
      </w:pPr>
      <w:r>
        <w:t xml:space="preserve">Hayes. Health Technology Brief. iFuse Implant System (SI-BONE Inc.) for Sacroiliac Joint </w:t>
      </w:r>
      <w:r w:rsidRPr="00F320E2">
        <w:t>Fusion for Treatment of Sacroiliac Joint Dysfunction.</w:t>
      </w:r>
      <w:r>
        <w:t xml:space="preserve"> Published November 2017.</w:t>
      </w:r>
      <w:r w:rsidR="00E5063B">
        <w:t xml:space="preserve">  Updated December 2018.</w:t>
      </w:r>
    </w:p>
    <w:p w14:paraId="59B065AD" w14:textId="4EFFC11F" w:rsidR="00FD2CD2" w:rsidRDefault="00FD2CD2" w:rsidP="000F0721">
      <w:pPr>
        <w:pStyle w:val="ListParagraph"/>
        <w:numPr>
          <w:ilvl w:val="0"/>
          <w:numId w:val="31"/>
        </w:numPr>
      </w:pPr>
      <w:r>
        <w:t>Hayes. Health Technology Brief. Open Surgery for Sacroiliac Joint Fusion for the Treatment of Low Back Pain. March 3, 2014</w:t>
      </w:r>
      <w:r w:rsidR="004E719D">
        <w:t xml:space="preserve">. </w:t>
      </w:r>
      <w:r>
        <w:t xml:space="preserve"> Updated January 28, 2016. </w:t>
      </w:r>
    </w:p>
    <w:p w14:paraId="59B065AE" w14:textId="1B6817F6" w:rsidR="000F0721" w:rsidRDefault="00FD2CD2" w:rsidP="000F0721">
      <w:pPr>
        <w:pStyle w:val="ListParagraph"/>
        <w:numPr>
          <w:ilvl w:val="0"/>
          <w:numId w:val="31"/>
        </w:numPr>
      </w:pPr>
      <w:r w:rsidRPr="009D0460">
        <w:t xml:space="preserve">Ledonio CG, Polly DW Jr, </w:t>
      </w:r>
      <w:r>
        <w:t>et al.</w:t>
      </w:r>
      <w:r w:rsidRPr="009D0460">
        <w:t xml:space="preserve"> Minimally invasive versus open sacroiliac joint fusion: are they similarly safe and effective? Clin Orthop Relat Res. 2014 Jun;472(6):1831-8. </w:t>
      </w:r>
      <w:r w:rsidR="00E94970">
        <w:t xml:space="preserve"> Accessed 05/21/19.</w:t>
      </w:r>
    </w:p>
    <w:p w14:paraId="59B065AF" w14:textId="4D186337" w:rsidR="00FD2CD2" w:rsidRDefault="00FD2CD2" w:rsidP="000F0721">
      <w:pPr>
        <w:pStyle w:val="ListParagraph"/>
        <w:numPr>
          <w:ilvl w:val="0"/>
          <w:numId w:val="31"/>
        </w:numPr>
      </w:pPr>
      <w:r w:rsidRPr="00D7745E">
        <w:t>Lorio, MP, Rashbaum, R. ISASS policy statement - minimally invasive sacroiliac joint fusion. Netherlands, 2014.</w:t>
      </w:r>
      <w:r w:rsidR="00887281">
        <w:t xml:space="preserve"> </w:t>
      </w:r>
      <w:r w:rsidR="00375E52">
        <w:t>Updated July 2016.</w:t>
      </w:r>
      <w:r w:rsidR="004E719D">
        <w:t xml:space="preserve">  Accessed 05/21/19</w:t>
      </w:r>
      <w:r w:rsidR="00750CEA">
        <w:t>.</w:t>
      </w:r>
    </w:p>
    <w:p w14:paraId="59B065B0" w14:textId="77777777" w:rsidR="00FD2CD2" w:rsidRPr="00F320E2" w:rsidRDefault="00FD2CD2" w:rsidP="000F0721">
      <w:pPr>
        <w:pStyle w:val="ListParagraph"/>
        <w:numPr>
          <w:ilvl w:val="0"/>
          <w:numId w:val="31"/>
        </w:numPr>
      </w:pPr>
      <w:r w:rsidRPr="00F320E2">
        <w:t xml:space="preserve">North American Spine Society (NASS). Coverage Policy Recommendations. Percutaneous Sacroiliac Joint Fusion. 6/9/2015. </w:t>
      </w:r>
    </w:p>
    <w:p w14:paraId="59B065B1" w14:textId="0B13A9C2" w:rsidR="00FD2CD2" w:rsidRDefault="00FD2CD2" w:rsidP="000F0721">
      <w:pPr>
        <w:pStyle w:val="ListParagraph"/>
        <w:numPr>
          <w:ilvl w:val="0"/>
          <w:numId w:val="31"/>
        </w:numPr>
      </w:pPr>
      <w:r w:rsidRPr="00693242">
        <w:t xml:space="preserve">Polly DW, Cher DJ, Wine KD, et al. Randomized controlled trial of minimally invasive sacroiliac joint fusion using triangular titanium implants vs nonsurgical management for sacroiliac joint dysfunction: 12-month outcomes. Neurosurgery. 2015. Epub ahead of print. August 19, 2015. </w:t>
      </w:r>
      <w:r w:rsidR="00750CEA">
        <w:t xml:space="preserve"> Accessed 05/21/19.</w:t>
      </w:r>
    </w:p>
    <w:p w14:paraId="59B065B2" w14:textId="79A1DE51" w:rsidR="00FD2CD2" w:rsidRDefault="00FD2CD2" w:rsidP="000F0721">
      <w:pPr>
        <w:pStyle w:val="ListParagraph"/>
        <w:numPr>
          <w:ilvl w:val="0"/>
          <w:numId w:val="31"/>
        </w:numPr>
      </w:pPr>
      <w:r>
        <w:t>SI-BONE, Inc. Announces Medicare Palmetto Removes MIS SI Joint Fusion from Non-Coverage. February 25, 2014.</w:t>
      </w:r>
      <w:r w:rsidR="00750CEA">
        <w:t xml:space="preserve">  Accessed 05/21/19.</w:t>
      </w:r>
    </w:p>
    <w:p w14:paraId="59B065B3" w14:textId="44A097AE" w:rsidR="00FD2CD2" w:rsidRDefault="00FD2CD2" w:rsidP="000F0721">
      <w:pPr>
        <w:pStyle w:val="ListParagraph"/>
        <w:numPr>
          <w:ilvl w:val="0"/>
          <w:numId w:val="31"/>
        </w:numPr>
      </w:pPr>
      <w:r w:rsidRPr="00F5702C">
        <w:t xml:space="preserve">State of Colorado. Department of Labor and Employment. Division of Workers’ Compensation. Low Back Pain. Medical Treatment Guidelines. Revised: </w:t>
      </w:r>
      <w:r w:rsidR="00A337FF">
        <w:t>February 3, 2014</w:t>
      </w:r>
      <w:r w:rsidRPr="00F5702C">
        <w:t>.</w:t>
      </w:r>
    </w:p>
    <w:p w14:paraId="59B065B4" w14:textId="77777777" w:rsidR="00FD2CD2" w:rsidRDefault="00FD2CD2" w:rsidP="000F0721">
      <w:pPr>
        <w:pStyle w:val="ListParagraph"/>
        <w:numPr>
          <w:ilvl w:val="0"/>
          <w:numId w:val="31"/>
        </w:numPr>
      </w:pPr>
      <w:r>
        <w:t>U.S. Food and Drug Administration (FDA) 510(k) Premarket Notification Database. iFuse SI Fusion System. No. K110838. April 21, 2011.</w:t>
      </w:r>
    </w:p>
    <w:p w14:paraId="59B065B5" w14:textId="77777777" w:rsidR="00FD2CD2" w:rsidRPr="000F0721" w:rsidRDefault="00FD2CD2" w:rsidP="000F0721">
      <w:pPr>
        <w:pStyle w:val="ListParagraph"/>
        <w:numPr>
          <w:ilvl w:val="0"/>
          <w:numId w:val="31"/>
        </w:numPr>
        <w:rPr>
          <w:vanish/>
        </w:rPr>
      </w:pPr>
      <w:r>
        <w:t xml:space="preserve">U.S. Food and Drug Administration (FDA) 510(k) Premarket Notification Database. </w:t>
      </w:r>
      <w:r w:rsidRPr="00AB69DC">
        <w:t>SI-BONE iFuse Implant System</w:t>
      </w:r>
      <w:r>
        <w:t xml:space="preserve">. No. </w:t>
      </w:r>
      <w:r w:rsidRPr="00AB69DC">
        <w:t>K150714</w:t>
      </w:r>
      <w:r>
        <w:t xml:space="preserve">. April 17, 2015. </w:t>
      </w:r>
    </w:p>
    <w:p w14:paraId="59B065B6" w14:textId="77777777" w:rsidR="00FD2CD2" w:rsidRPr="00AB69DC" w:rsidRDefault="00FD2CD2" w:rsidP="000F0721">
      <w:pPr>
        <w:numPr>
          <w:ilvl w:val="0"/>
          <w:numId w:val="31"/>
        </w:numPr>
        <w:rPr>
          <w:vanish/>
        </w:rPr>
      </w:pPr>
    </w:p>
    <w:p w14:paraId="59B065B7" w14:textId="77777777" w:rsidR="00FD2CD2" w:rsidRPr="00AB69DC" w:rsidRDefault="00FD2CD2" w:rsidP="000F0721">
      <w:pPr>
        <w:numPr>
          <w:ilvl w:val="0"/>
          <w:numId w:val="31"/>
        </w:numPr>
        <w:rPr>
          <w:vanish/>
        </w:rPr>
      </w:pPr>
    </w:p>
    <w:p w14:paraId="59B065B8" w14:textId="77777777" w:rsidR="00FD2CD2" w:rsidRPr="00AB69DC" w:rsidRDefault="00FD2CD2" w:rsidP="000F0721">
      <w:pPr>
        <w:numPr>
          <w:ilvl w:val="0"/>
          <w:numId w:val="31"/>
        </w:numPr>
        <w:rPr>
          <w:vanish/>
        </w:rPr>
      </w:pPr>
      <w:r w:rsidRPr="00AB69DC">
        <w:rPr>
          <w:vanish/>
        </w:rPr>
        <w:t xml:space="preserve">April </w:t>
      </w:r>
    </w:p>
    <w:p w14:paraId="59B065B9" w14:textId="77777777" w:rsidR="00FD2CD2" w:rsidRDefault="00FD2CD2" w:rsidP="00AB69DC"/>
    <w:p w14:paraId="59B065BA" w14:textId="77777777" w:rsidR="00F0718C" w:rsidRDefault="00DD0375" w:rsidP="00DD0375">
      <w:r>
        <w:t xml:space="preserve">15. </w:t>
      </w:r>
      <w:r w:rsidR="00F0718C" w:rsidRPr="000E1BC5">
        <w:t xml:space="preserve">Whang P, Cher D, Polly D, et al. Sacroiliac joint fusion using triangular titanium implants vs. </w:t>
      </w:r>
    </w:p>
    <w:p w14:paraId="59B065BB" w14:textId="77777777" w:rsidR="00DD0375" w:rsidRDefault="00DD0375" w:rsidP="00DD0375">
      <w:r>
        <w:t xml:space="preserve">      </w:t>
      </w:r>
      <w:r w:rsidR="00F0718C">
        <w:t>n</w:t>
      </w:r>
      <w:r w:rsidR="00F0718C" w:rsidRPr="000E1BC5">
        <w:t xml:space="preserve">on-surgical management: six-month outcomes from a prospective randomized controlled </w:t>
      </w:r>
      <w:r>
        <w:t xml:space="preserve">  </w:t>
      </w:r>
    </w:p>
    <w:p w14:paraId="59B065BC" w14:textId="18CF4B22" w:rsidR="00F0718C" w:rsidRDefault="00DD0375" w:rsidP="00DD0375">
      <w:r>
        <w:t xml:space="preserve">      </w:t>
      </w:r>
      <w:r w:rsidR="00F0718C" w:rsidRPr="000E1BC5">
        <w:t>trial. Int J Spine Surg. 2015; 9:6.</w:t>
      </w:r>
      <w:r w:rsidR="00F0718C">
        <w:t xml:space="preserve"> </w:t>
      </w:r>
      <w:r w:rsidR="008756A4">
        <w:t xml:space="preserve"> Accessed 05/21/19.</w:t>
      </w:r>
    </w:p>
    <w:p w14:paraId="59B065BD" w14:textId="77777777" w:rsidR="00DD0375" w:rsidRDefault="00DD0375" w:rsidP="00DD0375">
      <w:pPr>
        <w:rPr>
          <w:rFonts w:cs="Arial"/>
          <w:bCs/>
          <w:szCs w:val="20"/>
        </w:rPr>
      </w:pPr>
      <w:r>
        <w:t xml:space="preserve">16. </w:t>
      </w:r>
      <w:r w:rsidR="00BD7A36">
        <w:t xml:space="preserve">Wheeler SG, Wipf JE, Staiger TO, et al.  </w:t>
      </w:r>
      <w:r w:rsidR="00BD7A36" w:rsidRPr="00DD0375">
        <w:rPr>
          <w:rFonts w:cs="Arial"/>
          <w:bCs/>
          <w:szCs w:val="20"/>
        </w:rPr>
        <w:t xml:space="preserve">Evaluation of low back pain in adults. UpToDate. </w:t>
      </w:r>
      <w:r>
        <w:rPr>
          <w:rFonts w:cs="Arial"/>
          <w:bCs/>
          <w:szCs w:val="20"/>
        </w:rPr>
        <w:t xml:space="preserve"> </w:t>
      </w:r>
    </w:p>
    <w:p w14:paraId="59B065BE" w14:textId="461C1C25" w:rsidR="00BD7A36" w:rsidRDefault="00DD0375" w:rsidP="00DD0375">
      <w:r>
        <w:rPr>
          <w:rFonts w:cs="Arial"/>
          <w:bCs/>
          <w:szCs w:val="20"/>
        </w:rPr>
        <w:t xml:space="preserve">      </w:t>
      </w:r>
      <w:r w:rsidR="00BD7A36" w:rsidRPr="00DD0375">
        <w:rPr>
          <w:rFonts w:cs="Arial"/>
          <w:bCs/>
          <w:caps/>
          <w:szCs w:val="20"/>
        </w:rPr>
        <w:t>A</w:t>
      </w:r>
      <w:r w:rsidR="00BD7A36" w:rsidRPr="00DD0375">
        <w:rPr>
          <w:rFonts w:cs="Arial"/>
          <w:bCs/>
          <w:szCs w:val="20"/>
        </w:rPr>
        <w:t>pril</w:t>
      </w:r>
      <w:r w:rsidR="00BD7A36" w:rsidRPr="00DD0375">
        <w:rPr>
          <w:rFonts w:cs="Arial"/>
          <w:bCs/>
          <w:caps/>
          <w:szCs w:val="20"/>
        </w:rPr>
        <w:t xml:space="preserve"> 27, </w:t>
      </w:r>
      <w:r w:rsidR="00BD7A36" w:rsidRPr="00DD0375">
        <w:rPr>
          <w:rFonts w:cs="Arial"/>
          <w:bCs/>
          <w:szCs w:val="20"/>
        </w:rPr>
        <w:t xml:space="preserve">2016.  </w:t>
      </w:r>
      <w:r w:rsidR="004539C3">
        <w:rPr>
          <w:rFonts w:cs="Arial"/>
          <w:bCs/>
          <w:szCs w:val="20"/>
        </w:rPr>
        <w:t xml:space="preserve">Updated </w:t>
      </w:r>
      <w:r w:rsidR="008756A4">
        <w:rPr>
          <w:rFonts w:cs="Arial"/>
          <w:bCs/>
          <w:szCs w:val="20"/>
        </w:rPr>
        <w:t>May 14, 2019.  Accessed 05/21/19.</w:t>
      </w:r>
    </w:p>
    <w:p w14:paraId="59B065BF" w14:textId="06DDCE54" w:rsidR="00842645" w:rsidRDefault="00F042F5" w:rsidP="00A55672">
      <w:pPr>
        <w:ind w:left="360" w:hanging="360"/>
      </w:pPr>
      <w:r>
        <w:lastRenderedPageBreak/>
        <w:t>17.</w:t>
      </w:r>
      <w:r w:rsidR="003E08CF" w:rsidRPr="003E08CF">
        <w:rPr>
          <w:i/>
        </w:rPr>
        <w:t xml:space="preserve"> </w:t>
      </w:r>
      <w:r>
        <w:t>Z</w:t>
      </w:r>
      <w:r w:rsidR="00115CD9">
        <w:t>aidi HA, Montoure AJ, Dickman CA, et al. Surgical and clinic</w:t>
      </w:r>
      <w:r w:rsidR="00A55672">
        <w:t xml:space="preserve">al efficacy of sacroiliac joint </w:t>
      </w:r>
      <w:r w:rsidR="00115CD9">
        <w:t>fusion: a systematic review of the literature. J Neurosurg Spine. 2015 Jul;23 (1):59-66. doi: 10.3171/2014.10.SPINE14516. Epub 2015 Apr 3.</w:t>
      </w:r>
      <w:r w:rsidR="007D77ED">
        <w:t xml:space="preserve">  Accessed 05/21/19.</w:t>
      </w:r>
    </w:p>
    <w:p w14:paraId="59B065C0" w14:textId="429EEBD7" w:rsidR="00115CD9" w:rsidRDefault="00842645" w:rsidP="00006B50">
      <w:pPr>
        <w:pStyle w:val="ListParagraph"/>
        <w:numPr>
          <w:ilvl w:val="0"/>
          <w:numId w:val="31"/>
        </w:numPr>
      </w:pPr>
      <w:r>
        <w:t xml:space="preserve">Hayes Health Technology Brief.  </w:t>
      </w:r>
      <w:r w:rsidRPr="00842645">
        <w:t>Open Sacroiliac Joint Fusion for Unspecified Sacroiliac Joint Dysfunction</w:t>
      </w:r>
      <w:r>
        <w:t>.  June 22, 2017</w:t>
      </w:r>
      <w:r w:rsidR="00855381">
        <w:t>.  Accessed 05/21/19</w:t>
      </w:r>
      <w:r w:rsidR="007D77ED">
        <w:t>.</w:t>
      </w:r>
    </w:p>
    <w:p w14:paraId="59B065C1" w14:textId="4E3585DB" w:rsidR="00D916C5" w:rsidRDefault="00D916C5" w:rsidP="00006B50">
      <w:pPr>
        <w:pStyle w:val="ListParagraph"/>
        <w:numPr>
          <w:ilvl w:val="0"/>
          <w:numId w:val="31"/>
        </w:numPr>
      </w:pPr>
      <w:r w:rsidRPr="00D916C5">
        <w:t>Bornemann R, Roessler PP, Strauss AC</w:t>
      </w:r>
      <w:r>
        <w:t xml:space="preserve">, et al.  </w:t>
      </w:r>
      <w:r w:rsidRPr="00D916C5">
        <w:t>Two-year clinical results of patients with sacroiliac joint syndrome treated by arthrodesis using a triangular implant system.</w:t>
      </w:r>
      <w:r>
        <w:t xml:space="preserve">  </w:t>
      </w:r>
      <w:r w:rsidRPr="00D916C5">
        <w:t>Technol Health Care. 2017;25(2):319-325</w:t>
      </w:r>
      <w:r w:rsidR="00FB17E0">
        <w:t xml:space="preserve">.  </w:t>
      </w:r>
      <w:r w:rsidR="007D77ED">
        <w:t>Accessed 05/21/19.</w:t>
      </w:r>
    </w:p>
    <w:p w14:paraId="59B065C2" w14:textId="5B2EF087" w:rsidR="00D916C5" w:rsidRDefault="00D916C5" w:rsidP="00006B50">
      <w:pPr>
        <w:pStyle w:val="ListParagraph"/>
        <w:numPr>
          <w:ilvl w:val="0"/>
          <w:numId w:val="31"/>
        </w:numPr>
      </w:pPr>
      <w:r w:rsidRPr="00D916C5">
        <w:t>Polly DW, Swofford J, Whang PG</w:t>
      </w:r>
      <w:r>
        <w:t xml:space="preserve">, et al.  </w:t>
      </w:r>
      <w:r w:rsidRPr="00D916C5">
        <w:t>Two-Year Outcomes from a Randomized Controlled Trial of Minimally Invasive Sacroiliac Joint Fusion vs. Non-Surgical Management for Sacroiliac Joint Dysfunction.</w:t>
      </w:r>
      <w:r>
        <w:t xml:space="preserve">  </w:t>
      </w:r>
      <w:r w:rsidRPr="00D916C5">
        <w:t>Int J Spine Surg. 2016 Aug 23;10:28.</w:t>
      </w:r>
      <w:r w:rsidR="007D77ED">
        <w:t xml:space="preserve">  Accessed 05/21/19.</w:t>
      </w:r>
    </w:p>
    <w:p w14:paraId="59B065C3" w14:textId="6B051AA4" w:rsidR="00D916C5" w:rsidRDefault="00D916C5" w:rsidP="00006B50">
      <w:pPr>
        <w:pStyle w:val="ListParagraph"/>
        <w:numPr>
          <w:ilvl w:val="0"/>
          <w:numId w:val="31"/>
        </w:numPr>
      </w:pPr>
      <w:r w:rsidRPr="00D916C5">
        <w:t>Vanaclocha V, Herrera JM, Sáiz-Sapena N</w:t>
      </w:r>
      <w:r>
        <w:t xml:space="preserve">, et al.  </w:t>
      </w:r>
      <w:r w:rsidRPr="00D916C5">
        <w:t>Minimally Invasive Sacroiliac Joint Fusion, Radiofrequency Denervation, and Conservative Management for Sacroiliac Joint Pain: 6-Year Comparative Case Series.</w:t>
      </w:r>
      <w:r>
        <w:t xml:space="preserve">  </w:t>
      </w:r>
      <w:r w:rsidRPr="00D916C5">
        <w:t>Neurosurgery. 2017 Apr 20.</w:t>
      </w:r>
      <w:r w:rsidR="007D77ED">
        <w:t xml:space="preserve">  Accessed 05/21/19.</w:t>
      </w:r>
    </w:p>
    <w:p w14:paraId="59B065C4" w14:textId="00C964B9" w:rsidR="00D916C5" w:rsidRDefault="00D916C5" w:rsidP="00006B50">
      <w:pPr>
        <w:pStyle w:val="ListParagraph"/>
        <w:numPr>
          <w:ilvl w:val="0"/>
          <w:numId w:val="31"/>
        </w:numPr>
      </w:pPr>
      <w:r w:rsidRPr="00D916C5">
        <w:t>Lorio MP.</w:t>
      </w:r>
      <w:r>
        <w:t xml:space="preserve">  </w:t>
      </w:r>
      <w:r w:rsidRPr="00D916C5">
        <w:t>ISASS Policy 2016 Update - Minimally Invasive Sacroiliac Joint Fusion.</w:t>
      </w:r>
      <w:r>
        <w:t xml:space="preserve">  </w:t>
      </w:r>
      <w:r w:rsidRPr="00D916C5">
        <w:t>Int J Spine Surg. 2016 Jul 13;10:26</w:t>
      </w:r>
      <w:r w:rsidR="007D77ED">
        <w:t>.  Accessed 05/21/19.</w:t>
      </w:r>
    </w:p>
    <w:p w14:paraId="59B065C5" w14:textId="77777777" w:rsidR="00FD2CD2" w:rsidRDefault="00FD2CD2" w:rsidP="00115CD9">
      <w:r>
        <w:t xml:space="preserve"> </w:t>
      </w:r>
    </w:p>
    <w:p w14:paraId="59B065C6" w14:textId="77777777" w:rsidR="00FD2CD2" w:rsidRPr="00146C6E" w:rsidRDefault="00FD2CD2" w:rsidP="00146C6E">
      <w:pPr>
        <w:rPr>
          <w:b/>
          <w:u w:val="single"/>
        </w:rPr>
      </w:pPr>
      <w:bookmarkStart w:id="3" w:name="Important_Reminder"/>
      <w:r w:rsidRPr="00146C6E">
        <w:rPr>
          <w:b/>
          <w:bCs/>
          <w:u w:val="single"/>
        </w:rPr>
        <w:t>Important Reminder</w:t>
      </w:r>
      <w:bookmarkEnd w:id="3"/>
    </w:p>
    <w:p w14:paraId="59B065C7" w14:textId="77777777" w:rsidR="00FD2CD2" w:rsidRPr="00146C6E" w:rsidRDefault="00FD2CD2" w:rsidP="00146C6E">
      <w:r w:rsidRPr="00146C6E">
        <w:t xml:space="preserve">This clinical policy has been developed by appropriately experienced and licensed health care professionals based on a review and consideration of currently available generally accepted standards of medical practice; peer-reviewed medical literature; government agency/program approval status; evidence-based guidelines and positions of leading national health professional organizations; views of physicians practicing in relevant clinical areas affected by this clinical policy; and other available clinical information. </w:t>
      </w:r>
      <w:r w:rsidRPr="00146C6E">
        <w:rPr>
          <w:iCs/>
        </w:rPr>
        <w:t>The Health Plan</w:t>
      </w:r>
      <w:r w:rsidRPr="00146C6E">
        <w:t xml:space="preserve"> makes no representations and accepts no liability with respect to the content of any external information used or relied upon in developing this clinical policy. This clinical policy is consistent with standards of medical practice current at the time that this clinical policy was approved. “Health Plan” means a health plan that has adopted this clinical policy and that is operated or administered, in whole or in part, by Centene Management Company, LLC, or any of such health plan’s affiliates, as applicable.</w:t>
      </w:r>
    </w:p>
    <w:p w14:paraId="59B065C8" w14:textId="77777777" w:rsidR="00FD2CD2" w:rsidRPr="00146C6E" w:rsidRDefault="00FD2CD2" w:rsidP="00146C6E"/>
    <w:p w14:paraId="59B065C9" w14:textId="77777777" w:rsidR="00FD2CD2" w:rsidRPr="00146C6E" w:rsidRDefault="00FD2CD2" w:rsidP="00146C6E">
      <w:r w:rsidRPr="00146C6E">
        <w:t xml:space="preserve">The purpose of this clinical policy is to provide a guide to medical necessity, which is a component of the guidelines used to assist in making coverage decisions and administering benefits. It does not constitute a contract or guarantee regarding payment or results. Coverage decisions and the administration of benefits are subject to all terms, conditions, exclusions and limitations of the coverage documents (e.g., evidence of coverage, certificate of coverage, policy, contract of insurance, etc.), as well as to state and federal requirements and applicable Health Plan-level administrative policies and procedures.   </w:t>
      </w:r>
    </w:p>
    <w:p w14:paraId="59B065CA" w14:textId="77777777" w:rsidR="00FD2CD2" w:rsidRPr="00146C6E" w:rsidRDefault="00FD2CD2" w:rsidP="00146C6E"/>
    <w:p w14:paraId="59B065CB" w14:textId="77777777" w:rsidR="00FD2CD2" w:rsidRPr="00146C6E" w:rsidRDefault="00FD2CD2" w:rsidP="00146C6E">
      <w:pPr>
        <w:rPr>
          <w:color w:val="002868"/>
        </w:rPr>
      </w:pPr>
      <w:r w:rsidRPr="00146C6E">
        <w:t>This clinical policy is effective as of the date determined by the Health Plan. The date of posting may not be the effective date of this clinical policy. This clinical policy may be subject to applicable legal and regulatory requirements relating to provider notification. If there is a discrepancy between the effective date of this clinical policy and any applicable legal or regulatory requirement, the requirements of law and regulation shall govern. The Health Plan retains the right to change, amend or withdraw this clinical policy, and additional clinical policies may be developed and adopted as needed, at any time.</w:t>
      </w:r>
    </w:p>
    <w:p w14:paraId="59B065CC" w14:textId="77777777" w:rsidR="00FD2CD2" w:rsidRPr="00146C6E" w:rsidRDefault="00FD2CD2" w:rsidP="00146C6E"/>
    <w:p w14:paraId="59B065CD" w14:textId="77777777" w:rsidR="00FD2CD2" w:rsidRPr="00146C6E" w:rsidRDefault="00FD2CD2" w:rsidP="00146C6E">
      <w:r w:rsidRPr="00146C6E">
        <w:t xml:space="preserve">This clinical policy does not constitute medical advice, medical treatment or medical care.  It is not intended to dictate to providers how to practice medicine. Providers are expected to exercise professional medical judgment in providing the most appropriate care, and are solely responsible for the medical advice and treatment of members.  This clinical policy is not intended to recommend treatment for members. Members should consult with their treating physician in connection with diagnosis and treatment decisions. </w:t>
      </w:r>
    </w:p>
    <w:p w14:paraId="59B065CE" w14:textId="77777777" w:rsidR="00FD2CD2" w:rsidRPr="00146C6E" w:rsidRDefault="00FD2CD2" w:rsidP="00146C6E"/>
    <w:p w14:paraId="59B065CF" w14:textId="77777777" w:rsidR="00FD2CD2" w:rsidRPr="00146C6E" w:rsidRDefault="00FD2CD2" w:rsidP="00146C6E">
      <w:r w:rsidRPr="00146C6E">
        <w:t>Providers referred to in this clinical policy are independent contractors who exercise independent judgment and over whom the Health Plan has no control or right of control.  Providers are not agents or employees of the Health Plan.</w:t>
      </w:r>
    </w:p>
    <w:p w14:paraId="59B065D0" w14:textId="77777777" w:rsidR="00FD2CD2" w:rsidRPr="00146C6E" w:rsidRDefault="00FD2CD2" w:rsidP="00146C6E"/>
    <w:p w14:paraId="59B065D1" w14:textId="77777777" w:rsidR="00FD2CD2" w:rsidRPr="00146C6E" w:rsidRDefault="00FD2CD2" w:rsidP="00146C6E">
      <w:r w:rsidRPr="00146C6E">
        <w:t xml:space="preserve">This clinical policy is the property of </w:t>
      </w:r>
      <w:r w:rsidRPr="00146C6E">
        <w:rPr>
          <w:iCs/>
        </w:rPr>
        <w:t>the Health Plan</w:t>
      </w:r>
      <w:r w:rsidRPr="00146C6E">
        <w:t xml:space="preserve">. Unauthorized copying, use, and distribution of this clinical policy or any information contained herein are strictly prohibited.  Providers, members and their representatives are bound to the terms and conditions expressed herein through the terms of their contracts.  Where no such contract exists, providers, members and their representatives agree to be bound by such terms and conditions by providing services to members and/or submitting claims for payment for such services.  </w:t>
      </w:r>
    </w:p>
    <w:p w14:paraId="59B065D2" w14:textId="77777777" w:rsidR="00FD2CD2" w:rsidRPr="00146C6E" w:rsidRDefault="00FD2CD2" w:rsidP="00146C6E">
      <w:pPr>
        <w:autoSpaceDE w:val="0"/>
        <w:autoSpaceDN w:val="0"/>
        <w:adjustRightInd w:val="0"/>
        <w:rPr>
          <w:color w:val="000000"/>
        </w:rPr>
      </w:pPr>
    </w:p>
    <w:p w14:paraId="59B065D3" w14:textId="77777777" w:rsidR="00FD2CD2" w:rsidRPr="00146C6E" w:rsidRDefault="00FD2CD2" w:rsidP="00146C6E">
      <w:pPr>
        <w:autoSpaceDE w:val="0"/>
        <w:autoSpaceDN w:val="0"/>
        <w:adjustRightInd w:val="0"/>
        <w:rPr>
          <w:color w:val="000000"/>
        </w:rPr>
      </w:pPr>
      <w:r w:rsidRPr="00146C6E">
        <w:rPr>
          <w:b/>
          <w:color w:val="000000"/>
        </w:rPr>
        <w:t>Note: For Medicaid members</w:t>
      </w:r>
      <w:r w:rsidRPr="00146C6E">
        <w:rPr>
          <w:color w:val="000000"/>
        </w:rPr>
        <w:t>, when state Medicaid coverage provisions conflict with the coverage provisions in this clinical policy, state Medicaid coverage provisions take precedence. Please refer to the state Medicaid manual for any coverage provisions pertaining to this clinical policy.</w:t>
      </w:r>
    </w:p>
    <w:p w14:paraId="59B065D4" w14:textId="77777777" w:rsidR="00FD2CD2" w:rsidRPr="00146C6E" w:rsidRDefault="00FD2CD2" w:rsidP="00146C6E"/>
    <w:p w14:paraId="59B065D5" w14:textId="77777777" w:rsidR="00FD2CD2" w:rsidRPr="00146C6E" w:rsidRDefault="00FD2CD2" w:rsidP="00146C6E">
      <w:pPr>
        <w:autoSpaceDE w:val="0"/>
        <w:autoSpaceDN w:val="0"/>
        <w:adjustRightInd w:val="0"/>
        <w:rPr>
          <w:color w:val="000000"/>
        </w:rPr>
      </w:pPr>
      <w:r w:rsidRPr="00146C6E">
        <w:rPr>
          <w:b/>
          <w:bCs/>
          <w:color w:val="000000"/>
        </w:rPr>
        <w:t xml:space="preserve">Note: For Medicare members, </w:t>
      </w:r>
      <w:r w:rsidRPr="00146C6E">
        <w:rPr>
          <w:color w:val="000000"/>
        </w:rPr>
        <w:t>to ensure consistency with the Medicare National Coverage Determinations (NCD) and Local Coverage Determinations (LCD), all applicable NCDs</w:t>
      </w:r>
      <w:r w:rsidR="007E600F">
        <w:rPr>
          <w:color w:val="000000"/>
        </w:rPr>
        <w:t>,</w:t>
      </w:r>
      <w:r w:rsidRPr="00146C6E">
        <w:rPr>
          <w:color w:val="000000"/>
        </w:rPr>
        <w:t xml:space="preserve"> LCDs</w:t>
      </w:r>
      <w:r w:rsidR="007E600F">
        <w:rPr>
          <w:color w:val="000000"/>
        </w:rPr>
        <w:t>, and Medicare Coverage Articles</w:t>
      </w:r>
      <w:r w:rsidRPr="00146C6E">
        <w:rPr>
          <w:color w:val="000000"/>
        </w:rPr>
        <w:t xml:space="preserve"> should be reviewed </w:t>
      </w:r>
      <w:r w:rsidRPr="00146C6E">
        <w:rPr>
          <w:color w:val="000000"/>
          <w:u w:val="single"/>
        </w:rPr>
        <w:t>prior to</w:t>
      </w:r>
      <w:r w:rsidRPr="00146C6E">
        <w:rPr>
          <w:color w:val="000000"/>
        </w:rPr>
        <w:t xml:space="preserve"> applying the criteria set forth in this clinical policy. Refer to the CMS website at </w:t>
      </w:r>
      <w:hyperlink r:id="rId19" w:history="1">
        <w:r w:rsidRPr="00146C6E">
          <w:rPr>
            <w:color w:val="000000"/>
            <w:u w:val="single"/>
          </w:rPr>
          <w:t>http://www.cms.gov</w:t>
        </w:r>
      </w:hyperlink>
      <w:r w:rsidRPr="00146C6E">
        <w:rPr>
          <w:color w:val="000000"/>
        </w:rPr>
        <w:t xml:space="preserve"> for additional information. </w:t>
      </w:r>
    </w:p>
    <w:p w14:paraId="59B065D6" w14:textId="77777777" w:rsidR="00FD2CD2" w:rsidRPr="00146C6E" w:rsidRDefault="00FD2CD2" w:rsidP="00146C6E">
      <w:pPr>
        <w:rPr>
          <w:iCs/>
        </w:rPr>
      </w:pPr>
    </w:p>
    <w:p w14:paraId="59B065D7" w14:textId="77777777" w:rsidR="00FD2CD2" w:rsidRPr="00146C6E" w:rsidRDefault="00FD2CD2" w:rsidP="00146C6E">
      <w:pPr>
        <w:rPr>
          <w:iCs/>
        </w:rPr>
      </w:pPr>
      <w:r w:rsidRPr="00146C6E">
        <w:rPr>
          <w:iCs/>
        </w:rPr>
        <w:t>©2016 Centene Corporation. All rights reserved.  All materials are exclusively owned by Centene Corporation and are protected by United States copyright law and international copyright law.  No part of this publication may be reproduced, copied, modified, distributed, displayed, stored in a retrieval system, transmitted in any form or by any means, or otherwise published without the prior written permission of Centene Corporation. You may not alter or remove any trademark, copyright or other notice contained herein. Centene</w:t>
      </w:r>
      <w:r w:rsidRPr="00146C6E">
        <w:rPr>
          <w:iCs/>
          <w:vertAlign w:val="superscript"/>
        </w:rPr>
        <w:t>®</w:t>
      </w:r>
      <w:r w:rsidRPr="00146C6E">
        <w:rPr>
          <w:iCs/>
        </w:rPr>
        <w:t xml:space="preserve"> and Centene Corporation</w:t>
      </w:r>
      <w:r w:rsidRPr="00146C6E">
        <w:rPr>
          <w:iCs/>
          <w:vertAlign w:val="superscript"/>
        </w:rPr>
        <w:t>®</w:t>
      </w:r>
      <w:r w:rsidRPr="00146C6E">
        <w:rPr>
          <w:iCs/>
        </w:rPr>
        <w:t xml:space="preserve"> are registered trademarks exclusively owned by Centene Corporation.</w:t>
      </w:r>
    </w:p>
    <w:p w14:paraId="59B065D8" w14:textId="77777777" w:rsidR="00FD2CD2" w:rsidRDefault="00FD2CD2" w:rsidP="00AF5490"/>
    <w:sectPr w:rsidR="00FD2CD2" w:rsidSect="00480C09">
      <w:type w:val="continuous"/>
      <w:pgSz w:w="12240" w:h="15840" w:code="1"/>
      <w:pgMar w:top="1440" w:right="1440" w:bottom="1440" w:left="144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065DB" w14:textId="77777777" w:rsidR="00C749D2" w:rsidRDefault="00C749D2">
      <w:r>
        <w:separator/>
      </w:r>
    </w:p>
  </w:endnote>
  <w:endnote w:type="continuationSeparator" w:id="0">
    <w:p w14:paraId="59B065DC" w14:textId="77777777" w:rsidR="00C749D2" w:rsidRDefault="00C74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065DF" w14:textId="0E5AE6FD" w:rsidR="00FD2CD2" w:rsidRPr="00D574CA" w:rsidRDefault="00FD2CD2" w:rsidP="00D574CA">
    <w:pPr>
      <w:pStyle w:val="Footer"/>
      <w:jc w:val="center"/>
    </w:pPr>
    <w:r>
      <w:t xml:space="preserve">Page </w:t>
    </w:r>
    <w:r>
      <w:rPr>
        <w:b/>
        <w:bCs/>
      </w:rPr>
      <w:fldChar w:fldCharType="begin"/>
    </w:r>
    <w:r>
      <w:rPr>
        <w:b/>
        <w:bCs/>
      </w:rPr>
      <w:instrText xml:space="preserve"> PAGE </w:instrText>
    </w:r>
    <w:r>
      <w:rPr>
        <w:b/>
        <w:bCs/>
      </w:rPr>
      <w:fldChar w:fldCharType="separate"/>
    </w:r>
    <w:r w:rsidR="00FA0CFC">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FA0CFC">
      <w:rPr>
        <w:b/>
        <w:bCs/>
        <w:noProof/>
      </w:rPr>
      <w:t>6</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065E1" w14:textId="1CEBCE75" w:rsidR="00FD2CD2" w:rsidRDefault="00FD2CD2" w:rsidP="002C6AAB">
    <w:pPr>
      <w:pStyle w:val="Footer"/>
      <w:jc w:val="center"/>
    </w:pPr>
    <w:r>
      <w:t xml:space="preserve">Page </w:t>
    </w:r>
    <w:r w:rsidR="006115E8">
      <w:fldChar w:fldCharType="begin"/>
    </w:r>
    <w:r w:rsidR="006115E8">
      <w:instrText xml:space="preserve"> PAGE   \* MERGEFORMAT </w:instrText>
    </w:r>
    <w:r w:rsidR="006115E8">
      <w:fldChar w:fldCharType="separate"/>
    </w:r>
    <w:r w:rsidR="00FA0CFC">
      <w:rPr>
        <w:noProof/>
      </w:rPr>
      <w:t>1</w:t>
    </w:r>
    <w:r w:rsidR="006115E8">
      <w:rPr>
        <w:noProof/>
      </w:rPr>
      <w:fldChar w:fldCharType="end"/>
    </w:r>
    <w:r>
      <w:t xml:space="preserve"> of </w:t>
    </w:r>
    <w:r w:rsidR="00FB17E0">
      <w:rPr>
        <w:noProof/>
      </w:rPr>
      <w:fldChar w:fldCharType="begin"/>
    </w:r>
    <w:r w:rsidR="00FB17E0">
      <w:rPr>
        <w:noProof/>
      </w:rPr>
      <w:instrText xml:space="preserve"> NUMPAGES   \* MERGEFORMAT </w:instrText>
    </w:r>
    <w:r w:rsidR="00FB17E0">
      <w:rPr>
        <w:noProof/>
      </w:rPr>
      <w:fldChar w:fldCharType="separate"/>
    </w:r>
    <w:r w:rsidR="00FA0CFC">
      <w:rPr>
        <w:noProof/>
      </w:rPr>
      <w:t>6</w:t>
    </w:r>
    <w:r w:rsidR="00FB17E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065D9" w14:textId="77777777" w:rsidR="00C749D2" w:rsidRDefault="00C749D2">
      <w:r>
        <w:separator/>
      </w:r>
    </w:p>
  </w:footnote>
  <w:footnote w:type="continuationSeparator" w:id="0">
    <w:p w14:paraId="59B065DA" w14:textId="77777777" w:rsidR="00C749D2" w:rsidRDefault="00C74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065DD" w14:textId="77777777" w:rsidR="00FD2CD2" w:rsidRPr="00B777AF" w:rsidRDefault="00FD2CD2" w:rsidP="00480C09">
    <w:pPr>
      <w:rPr>
        <w:rFonts w:ascii="Times New Roman Bold" w:hAnsi="Times New Roman Bold"/>
        <w:b/>
        <w:bCs/>
        <w:smallCaps/>
        <w:color w:val="00548C"/>
        <w:sz w:val="28"/>
      </w:rPr>
    </w:pPr>
    <w:r w:rsidRPr="00B777AF">
      <w:rPr>
        <w:rFonts w:ascii="Times New Roman Bold" w:hAnsi="Times New Roman Bold"/>
        <w:b/>
        <w:bCs/>
        <w:smallCaps/>
        <w:color w:val="00548C"/>
        <w:sz w:val="28"/>
      </w:rPr>
      <w:t>Clinical Policy</w:t>
    </w:r>
    <w:r w:rsidRPr="00B777AF">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sidR="00B76A17">
      <w:rPr>
        <w:noProof/>
        <w:color w:val="00548C"/>
      </w:rPr>
      <w:drawing>
        <wp:inline distT="0" distB="0" distL="0" distR="0" wp14:anchorId="59B065E2" wp14:editId="59B065E3">
          <wp:extent cx="904875" cy="238125"/>
          <wp:effectExtent l="0" t="0" r="9525" b="9525"/>
          <wp:docPr id="3" name="Picture 3"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238125"/>
                  </a:xfrm>
                  <a:prstGeom prst="rect">
                    <a:avLst/>
                  </a:prstGeom>
                  <a:noFill/>
                  <a:ln>
                    <a:noFill/>
                  </a:ln>
                </pic:spPr>
              </pic:pic>
            </a:graphicData>
          </a:graphic>
        </wp:inline>
      </w:drawing>
    </w:r>
  </w:p>
  <w:p w14:paraId="59B065DE" w14:textId="77777777" w:rsidR="00FD2CD2" w:rsidRPr="00B777AF" w:rsidRDefault="00CA1D6E" w:rsidP="00B777AF">
    <w:pPr>
      <w:rPr>
        <w:color w:val="00548C"/>
      </w:rPr>
    </w:pPr>
    <w:r>
      <w:rPr>
        <w:rFonts w:ascii="Times New Roman Bold" w:hAnsi="Times New Roman Bold"/>
        <w:b/>
        <w:bCs/>
        <w:color w:val="00548C"/>
      </w:rPr>
      <w:t>Sacroiliac Joint Fusion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065E0" w14:textId="77777777" w:rsidR="00FD2CD2" w:rsidRDefault="00B76A17" w:rsidP="00B777AF">
    <w:pPr>
      <w:pStyle w:val="Header"/>
      <w:jc w:val="right"/>
    </w:pPr>
    <w:r>
      <w:rPr>
        <w:noProof/>
      </w:rPr>
      <w:drawing>
        <wp:inline distT="0" distB="0" distL="0" distR="0" wp14:anchorId="59B065E4" wp14:editId="59B065E5">
          <wp:extent cx="1362075" cy="333375"/>
          <wp:effectExtent l="0" t="0" r="9525" b="9525"/>
          <wp:docPr id="4" name="Picture 4"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333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467CC"/>
    <w:multiLevelType w:val="hybridMultilevel"/>
    <w:tmpl w:val="6E0C4B68"/>
    <w:lvl w:ilvl="0" w:tplc="4E2686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F5AE7"/>
    <w:multiLevelType w:val="hybridMultilevel"/>
    <w:tmpl w:val="371A4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7A7E13"/>
    <w:multiLevelType w:val="hybridMultilevel"/>
    <w:tmpl w:val="BBB0071E"/>
    <w:lvl w:ilvl="0" w:tplc="4E2686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E7697"/>
    <w:multiLevelType w:val="hybridMultilevel"/>
    <w:tmpl w:val="96D856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31E0E99"/>
    <w:multiLevelType w:val="hybridMultilevel"/>
    <w:tmpl w:val="5FFA82B8"/>
    <w:lvl w:ilvl="0" w:tplc="04090019">
      <w:start w:val="1"/>
      <w:numFmt w:val="lowerLetter"/>
      <w:lvlText w:val="%1."/>
      <w:lvlJc w:val="left"/>
      <w:pPr>
        <w:ind w:left="1440" w:hanging="360"/>
      </w:pPr>
      <w:rPr>
        <w:rFonts w:cs="Times New Roman"/>
      </w:rPr>
    </w:lvl>
    <w:lvl w:ilvl="1" w:tplc="0409001B">
      <w:start w:val="1"/>
      <w:numFmt w:val="lowerRoman"/>
      <w:lvlText w:val="%2."/>
      <w:lvlJc w:val="right"/>
      <w:pPr>
        <w:ind w:left="2160" w:hanging="360"/>
      </w:pPr>
      <w:rPr>
        <w:rFonts w:cs="Times New Roman" w:hint="default"/>
        <w:sz w:val="20"/>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177105B2"/>
    <w:multiLevelType w:val="hybridMultilevel"/>
    <w:tmpl w:val="4834641C"/>
    <w:lvl w:ilvl="0" w:tplc="4E2686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7537E"/>
    <w:multiLevelType w:val="hybridMultilevel"/>
    <w:tmpl w:val="85E40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7A6984"/>
    <w:multiLevelType w:val="hybridMultilevel"/>
    <w:tmpl w:val="387EA7BC"/>
    <w:lvl w:ilvl="0" w:tplc="5C220D9E">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77230F"/>
    <w:multiLevelType w:val="hybridMultilevel"/>
    <w:tmpl w:val="64940628"/>
    <w:lvl w:ilvl="0" w:tplc="5A5E3F8C">
      <w:start w:val="2"/>
      <w:numFmt w:val="bullet"/>
      <w:lvlText w:val=""/>
      <w:lvlJc w:val="left"/>
      <w:pPr>
        <w:tabs>
          <w:tab w:val="num" w:pos="360"/>
        </w:tabs>
        <w:ind w:left="360" w:hanging="360"/>
      </w:pPr>
      <w:rPr>
        <w:rFonts w:ascii="Symbol" w:hAnsi="Symbol" w:hint="default"/>
        <w:b w:val="0"/>
        <w:i w:val="0"/>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B61879"/>
    <w:multiLevelType w:val="hybridMultilevel"/>
    <w:tmpl w:val="0A7483EA"/>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E500B2"/>
    <w:multiLevelType w:val="hybridMultilevel"/>
    <w:tmpl w:val="CB5AF886"/>
    <w:lvl w:ilvl="0" w:tplc="6CC06064">
      <w:start w:val="1"/>
      <w:numFmt w:val="lowerLetter"/>
      <w:lvlText w:val="%1."/>
      <w:lvlJc w:val="left"/>
      <w:pPr>
        <w:ind w:left="144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6A01436"/>
    <w:multiLevelType w:val="hybridMultilevel"/>
    <w:tmpl w:val="D236E140"/>
    <w:lvl w:ilvl="0" w:tplc="5C220D9E">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C75F0A"/>
    <w:multiLevelType w:val="hybridMultilevel"/>
    <w:tmpl w:val="D236E140"/>
    <w:lvl w:ilvl="0" w:tplc="5C220D9E">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251B1E"/>
    <w:multiLevelType w:val="hybridMultilevel"/>
    <w:tmpl w:val="B204E92A"/>
    <w:lvl w:ilvl="0" w:tplc="26CA68AC">
      <w:start w:val="1"/>
      <w:numFmt w:val="upperRoman"/>
      <w:lvlText w:val="%1."/>
      <w:lvlJc w:val="left"/>
      <w:pPr>
        <w:ind w:left="720" w:hanging="360"/>
      </w:pPr>
      <w:rPr>
        <w:rFonts w:cs="Times New Roman" w:hint="default"/>
        <w:b/>
      </w:rPr>
    </w:lvl>
    <w:lvl w:ilvl="1" w:tplc="56CC320A">
      <w:start w:val="1"/>
      <w:numFmt w:val="upperLetter"/>
      <w:lvlText w:val="%2."/>
      <w:lvlJc w:val="left"/>
      <w:pPr>
        <w:ind w:left="1440" w:hanging="360"/>
      </w:pPr>
      <w:rPr>
        <w:rFonts w:cs="Times New Roman"/>
        <w:b/>
      </w:rPr>
    </w:lvl>
    <w:lvl w:ilvl="2" w:tplc="B0D8E88E">
      <w:start w:val="1"/>
      <w:numFmt w:val="decimal"/>
      <w:lvlText w:val="%3."/>
      <w:lvlJc w:val="left"/>
      <w:pPr>
        <w:ind w:left="2160" w:hanging="180"/>
      </w:pPr>
      <w:rPr>
        <w:rFonts w:cs="Times New Roman"/>
        <w:b/>
      </w:rPr>
    </w:lvl>
    <w:lvl w:ilvl="3" w:tplc="04090019">
      <w:start w:val="1"/>
      <w:numFmt w:val="lowerLetter"/>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F2D0D18"/>
    <w:multiLevelType w:val="hybridMultilevel"/>
    <w:tmpl w:val="0C50D1FA"/>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497053"/>
    <w:multiLevelType w:val="hybridMultilevel"/>
    <w:tmpl w:val="BE262ED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586063C"/>
    <w:multiLevelType w:val="hybridMultilevel"/>
    <w:tmpl w:val="04382478"/>
    <w:lvl w:ilvl="0" w:tplc="5C220D9E">
      <w:start w:val="1"/>
      <w:numFmt w:val="decimal"/>
      <w:lvlText w:val="%1."/>
      <w:lvlJc w:val="left"/>
      <w:pPr>
        <w:ind w:left="720" w:hanging="360"/>
      </w:pPr>
      <w:rPr>
        <w:rFonts w:cs="Times New Roman" w:hint="default"/>
        <w:b w:val="0"/>
      </w:rPr>
    </w:lvl>
    <w:lvl w:ilvl="1" w:tplc="6CC06064">
      <w:start w:val="1"/>
      <w:numFmt w:val="lowerLetter"/>
      <w:lvlText w:val="%2."/>
      <w:lvlJc w:val="left"/>
      <w:pPr>
        <w:ind w:left="1440" w:hanging="360"/>
      </w:pPr>
      <w:rPr>
        <w:rFonts w:cs="Times New Roman"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6B68E6"/>
    <w:multiLevelType w:val="hybridMultilevel"/>
    <w:tmpl w:val="F330294A"/>
    <w:lvl w:ilvl="0" w:tplc="D0FE5CC8">
      <w:start w:val="1"/>
      <w:numFmt w:val="lowerRoman"/>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18" w15:restartNumberingAfterBreak="0">
    <w:nsid w:val="37D52790"/>
    <w:multiLevelType w:val="hybridMultilevel"/>
    <w:tmpl w:val="0A7CB19A"/>
    <w:lvl w:ilvl="0" w:tplc="27D0B662">
      <w:start w:val="1"/>
      <w:numFmt w:val="decimal"/>
      <w:lvlText w:val="%1."/>
      <w:lvlJc w:val="left"/>
      <w:pPr>
        <w:tabs>
          <w:tab w:val="num" w:pos="900"/>
        </w:tabs>
        <w:ind w:left="900" w:hanging="360"/>
      </w:pPr>
      <w:rPr>
        <w:rFonts w:ascii="Verdana" w:hAnsi="Verdana" w:cs="Times New Roman" w:hint="default"/>
        <w:b w:val="0"/>
        <w:i w:val="0"/>
        <w:color w:val="00000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A231C77"/>
    <w:multiLevelType w:val="hybridMultilevel"/>
    <w:tmpl w:val="553682CE"/>
    <w:lvl w:ilvl="0" w:tplc="A244BB9A">
      <w:start w:val="1"/>
      <w:numFmt w:val="upperLetter"/>
      <w:lvlText w:val="%1."/>
      <w:lvlJc w:val="left"/>
      <w:pPr>
        <w:ind w:left="1440" w:hanging="360"/>
      </w:pPr>
      <w:rPr>
        <w:rFonts w:cs="Times New Roman"/>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15:restartNumberingAfterBreak="0">
    <w:nsid w:val="3A8F4E5F"/>
    <w:multiLevelType w:val="hybridMultilevel"/>
    <w:tmpl w:val="CECE3386"/>
    <w:lvl w:ilvl="0" w:tplc="4E2686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BE345C"/>
    <w:multiLevelType w:val="hybridMultilevel"/>
    <w:tmpl w:val="387EA7BC"/>
    <w:lvl w:ilvl="0" w:tplc="5C220D9E">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CF5DCC"/>
    <w:multiLevelType w:val="hybridMultilevel"/>
    <w:tmpl w:val="106C7FCE"/>
    <w:lvl w:ilvl="0" w:tplc="2580FA7C">
      <w:start w:val="4"/>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D4E6AE2"/>
    <w:multiLevelType w:val="hybridMultilevel"/>
    <w:tmpl w:val="5E30E150"/>
    <w:lvl w:ilvl="0" w:tplc="D8586666">
      <w:start w:val="1"/>
      <w:numFmt w:val="decimal"/>
      <w:lvlText w:val="%1."/>
      <w:lvlJc w:val="left"/>
      <w:pPr>
        <w:ind w:left="1080" w:hanging="360"/>
      </w:pPr>
      <w:rPr>
        <w:rFonts w:hint="default"/>
        <w:b w:val="0"/>
        <w:i w:val="0"/>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D6B432D"/>
    <w:multiLevelType w:val="hybridMultilevel"/>
    <w:tmpl w:val="4BD82318"/>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071909"/>
    <w:multiLevelType w:val="hybridMultilevel"/>
    <w:tmpl w:val="32205E8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4F4A13B3"/>
    <w:multiLevelType w:val="multilevel"/>
    <w:tmpl w:val="64940628"/>
    <w:lvl w:ilvl="0">
      <w:start w:val="2"/>
      <w:numFmt w:val="bullet"/>
      <w:lvlText w:val=""/>
      <w:lvlJc w:val="left"/>
      <w:pPr>
        <w:tabs>
          <w:tab w:val="num" w:pos="360"/>
        </w:tabs>
        <w:ind w:left="360" w:hanging="360"/>
      </w:pPr>
      <w:rPr>
        <w:rFonts w:ascii="Symbol" w:hAnsi="Symbol" w:hint="default"/>
        <w:b w:val="0"/>
        <w:i w:val="0"/>
        <w:color w:val="00000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D365D0"/>
    <w:multiLevelType w:val="hybridMultilevel"/>
    <w:tmpl w:val="D55A7940"/>
    <w:lvl w:ilvl="0" w:tplc="F85C9D98">
      <w:start w:val="1"/>
      <w:numFmt w:val="upperLetter"/>
      <w:lvlText w:val="%1."/>
      <w:lvlJc w:val="left"/>
      <w:pPr>
        <w:ind w:left="720" w:hanging="360"/>
      </w:pPr>
      <w:rPr>
        <w:rFonts w:cs="Times New Roman"/>
        <w:b w:val="0"/>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50746AA"/>
    <w:multiLevelType w:val="hybridMultilevel"/>
    <w:tmpl w:val="7B9A4726"/>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15:restartNumberingAfterBreak="0">
    <w:nsid w:val="5E7A4461"/>
    <w:multiLevelType w:val="hybridMultilevel"/>
    <w:tmpl w:val="FE385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9C1206"/>
    <w:multiLevelType w:val="hybridMultilevel"/>
    <w:tmpl w:val="2284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D1434D"/>
    <w:multiLevelType w:val="hybridMultilevel"/>
    <w:tmpl w:val="3806A6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F600535"/>
    <w:multiLevelType w:val="hybridMultilevel"/>
    <w:tmpl w:val="0A58192A"/>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3" w15:restartNumberingAfterBreak="0">
    <w:nsid w:val="6F781D4F"/>
    <w:multiLevelType w:val="hybridMultilevel"/>
    <w:tmpl w:val="72B64CCE"/>
    <w:lvl w:ilvl="0" w:tplc="28C0B3A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D1E3D0A"/>
    <w:multiLevelType w:val="hybridMultilevel"/>
    <w:tmpl w:val="9BB63C06"/>
    <w:lvl w:ilvl="0" w:tplc="6BAC0802">
      <w:start w:val="1"/>
      <w:numFmt w:val="upperRoman"/>
      <w:lvlText w:val="%1."/>
      <w:lvlJc w:val="left"/>
      <w:pPr>
        <w:ind w:left="720" w:hanging="360"/>
      </w:pPr>
      <w:rPr>
        <w:rFonts w:cs="Times New Roman" w:hint="default"/>
        <w:b/>
        <w:i w:val="0"/>
      </w:rPr>
    </w:lvl>
    <w:lvl w:ilvl="1" w:tplc="20E0897C">
      <w:start w:val="1"/>
      <w:numFmt w:val="upperLetter"/>
      <w:lvlText w:val="%2."/>
      <w:lvlJc w:val="left"/>
      <w:pPr>
        <w:ind w:left="1440" w:hanging="360"/>
      </w:pPr>
      <w:rPr>
        <w:rFonts w:cs="Times New Roman"/>
        <w:b/>
      </w:rPr>
    </w:lvl>
    <w:lvl w:ilvl="2" w:tplc="0409000F">
      <w:start w:val="1"/>
      <w:numFmt w:val="decimal"/>
      <w:lvlText w:val="%3."/>
      <w:lvlJc w:val="left"/>
      <w:pPr>
        <w:ind w:left="2160" w:hanging="180"/>
      </w:pPr>
      <w:rPr>
        <w:rFonts w:cs="Times New Roman"/>
      </w:rPr>
    </w:lvl>
    <w:lvl w:ilvl="3" w:tplc="04090019">
      <w:start w:val="1"/>
      <w:numFmt w:val="lowerLetter"/>
      <w:lvlText w:val="%4."/>
      <w:lvlJc w:val="left"/>
      <w:pPr>
        <w:ind w:left="2880" w:hanging="360"/>
      </w:pPr>
      <w:rPr>
        <w:rFonts w:cs="Times New Roman"/>
      </w:rPr>
    </w:lvl>
    <w:lvl w:ilvl="4" w:tplc="58AADE0C">
      <w:start w:val="1"/>
      <w:numFmt w:val="lowerRoman"/>
      <w:lvlText w:val="%5."/>
      <w:lvlJc w:val="left"/>
      <w:pPr>
        <w:ind w:left="3600" w:hanging="360"/>
      </w:pPr>
      <w:rPr>
        <w:rFonts w:cs="Times New Roman" w:hint="default"/>
        <w:sz w:val="20"/>
      </w:rPr>
    </w:lvl>
    <w:lvl w:ilvl="5" w:tplc="04090017">
      <w:start w:val="1"/>
      <w:numFmt w:val="lowerLetter"/>
      <w:lvlText w:val="%6)"/>
      <w:lvlJc w:val="lef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D3E10B5"/>
    <w:multiLevelType w:val="hybridMultilevel"/>
    <w:tmpl w:val="618CB542"/>
    <w:lvl w:ilvl="0" w:tplc="41745BB8">
      <w:start w:val="1"/>
      <w:numFmt w:val="bullet"/>
      <w:lvlText w:val=""/>
      <w:lvlJc w:val="left"/>
      <w:pPr>
        <w:tabs>
          <w:tab w:val="num" w:pos="720"/>
        </w:tabs>
        <w:ind w:left="720" w:hanging="360"/>
      </w:pPr>
      <w:rPr>
        <w:rFonts w:ascii="Symbol" w:hAnsi="Symbol" w:hint="default"/>
        <w:sz w:val="20"/>
      </w:rPr>
    </w:lvl>
    <w:lvl w:ilvl="1" w:tplc="28DA9A74" w:tentative="1">
      <w:start w:val="1"/>
      <w:numFmt w:val="bullet"/>
      <w:lvlText w:val="o"/>
      <w:lvlJc w:val="left"/>
      <w:pPr>
        <w:tabs>
          <w:tab w:val="num" w:pos="1440"/>
        </w:tabs>
        <w:ind w:left="1440" w:hanging="360"/>
      </w:pPr>
      <w:rPr>
        <w:rFonts w:ascii="Courier New" w:hAnsi="Courier New" w:hint="default"/>
        <w:sz w:val="20"/>
      </w:rPr>
    </w:lvl>
    <w:lvl w:ilvl="2" w:tplc="04F23BE2" w:tentative="1">
      <w:start w:val="1"/>
      <w:numFmt w:val="bullet"/>
      <w:lvlText w:val=""/>
      <w:lvlJc w:val="left"/>
      <w:pPr>
        <w:tabs>
          <w:tab w:val="num" w:pos="2160"/>
        </w:tabs>
        <w:ind w:left="2160" w:hanging="360"/>
      </w:pPr>
      <w:rPr>
        <w:rFonts w:ascii="Wingdings" w:hAnsi="Wingdings" w:hint="default"/>
        <w:sz w:val="20"/>
      </w:rPr>
    </w:lvl>
    <w:lvl w:ilvl="3" w:tplc="B36E250C" w:tentative="1">
      <w:start w:val="1"/>
      <w:numFmt w:val="bullet"/>
      <w:lvlText w:val=""/>
      <w:lvlJc w:val="left"/>
      <w:pPr>
        <w:tabs>
          <w:tab w:val="num" w:pos="2880"/>
        </w:tabs>
        <w:ind w:left="2880" w:hanging="360"/>
      </w:pPr>
      <w:rPr>
        <w:rFonts w:ascii="Wingdings" w:hAnsi="Wingdings" w:hint="default"/>
        <w:sz w:val="20"/>
      </w:rPr>
    </w:lvl>
    <w:lvl w:ilvl="4" w:tplc="A98011B6" w:tentative="1">
      <w:start w:val="1"/>
      <w:numFmt w:val="bullet"/>
      <w:lvlText w:val=""/>
      <w:lvlJc w:val="left"/>
      <w:pPr>
        <w:tabs>
          <w:tab w:val="num" w:pos="3600"/>
        </w:tabs>
        <w:ind w:left="3600" w:hanging="360"/>
      </w:pPr>
      <w:rPr>
        <w:rFonts w:ascii="Wingdings" w:hAnsi="Wingdings" w:hint="default"/>
        <w:sz w:val="20"/>
      </w:rPr>
    </w:lvl>
    <w:lvl w:ilvl="5" w:tplc="B5309476" w:tentative="1">
      <w:start w:val="1"/>
      <w:numFmt w:val="bullet"/>
      <w:lvlText w:val=""/>
      <w:lvlJc w:val="left"/>
      <w:pPr>
        <w:tabs>
          <w:tab w:val="num" w:pos="4320"/>
        </w:tabs>
        <w:ind w:left="4320" w:hanging="360"/>
      </w:pPr>
      <w:rPr>
        <w:rFonts w:ascii="Wingdings" w:hAnsi="Wingdings" w:hint="default"/>
        <w:sz w:val="20"/>
      </w:rPr>
    </w:lvl>
    <w:lvl w:ilvl="6" w:tplc="D5DCFE88" w:tentative="1">
      <w:start w:val="1"/>
      <w:numFmt w:val="bullet"/>
      <w:lvlText w:val=""/>
      <w:lvlJc w:val="left"/>
      <w:pPr>
        <w:tabs>
          <w:tab w:val="num" w:pos="5040"/>
        </w:tabs>
        <w:ind w:left="5040" w:hanging="360"/>
      </w:pPr>
      <w:rPr>
        <w:rFonts w:ascii="Wingdings" w:hAnsi="Wingdings" w:hint="default"/>
        <w:sz w:val="20"/>
      </w:rPr>
    </w:lvl>
    <w:lvl w:ilvl="7" w:tplc="700E33C4" w:tentative="1">
      <w:start w:val="1"/>
      <w:numFmt w:val="bullet"/>
      <w:lvlText w:val=""/>
      <w:lvlJc w:val="left"/>
      <w:pPr>
        <w:tabs>
          <w:tab w:val="num" w:pos="5760"/>
        </w:tabs>
        <w:ind w:left="5760" w:hanging="360"/>
      </w:pPr>
      <w:rPr>
        <w:rFonts w:ascii="Wingdings" w:hAnsi="Wingdings" w:hint="default"/>
        <w:sz w:val="20"/>
      </w:rPr>
    </w:lvl>
    <w:lvl w:ilvl="8" w:tplc="2C6EEB8C"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6F467E"/>
    <w:multiLevelType w:val="hybridMultilevel"/>
    <w:tmpl w:val="F9980808"/>
    <w:lvl w:ilvl="0" w:tplc="4E2686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
  </w:num>
  <w:num w:numId="3">
    <w:abstractNumId w:val="13"/>
  </w:num>
  <w:num w:numId="4">
    <w:abstractNumId w:val="17"/>
  </w:num>
  <w:num w:numId="5">
    <w:abstractNumId w:val="19"/>
  </w:num>
  <w:num w:numId="6">
    <w:abstractNumId w:val="30"/>
  </w:num>
  <w:num w:numId="7">
    <w:abstractNumId w:val="31"/>
  </w:num>
  <w:num w:numId="8">
    <w:abstractNumId w:val="3"/>
  </w:num>
  <w:num w:numId="9">
    <w:abstractNumId w:val="27"/>
  </w:num>
  <w:num w:numId="10">
    <w:abstractNumId w:val="11"/>
  </w:num>
  <w:num w:numId="11">
    <w:abstractNumId w:val="34"/>
  </w:num>
  <w:num w:numId="12">
    <w:abstractNumId w:val="16"/>
  </w:num>
  <w:num w:numId="13">
    <w:abstractNumId w:val="15"/>
  </w:num>
  <w:num w:numId="14">
    <w:abstractNumId w:val="7"/>
  </w:num>
  <w:num w:numId="15">
    <w:abstractNumId w:val="12"/>
  </w:num>
  <w:num w:numId="16">
    <w:abstractNumId w:val="32"/>
  </w:num>
  <w:num w:numId="17">
    <w:abstractNumId w:val="28"/>
  </w:num>
  <w:num w:numId="18">
    <w:abstractNumId w:val="21"/>
  </w:num>
  <w:num w:numId="19">
    <w:abstractNumId w:val="10"/>
  </w:num>
  <w:num w:numId="20">
    <w:abstractNumId w:val="4"/>
  </w:num>
  <w:num w:numId="21">
    <w:abstractNumId w:val="22"/>
  </w:num>
  <w:num w:numId="22">
    <w:abstractNumId w:val="18"/>
  </w:num>
  <w:num w:numId="23">
    <w:abstractNumId w:val="8"/>
  </w:num>
  <w:num w:numId="24">
    <w:abstractNumId w:val="26"/>
  </w:num>
  <w:num w:numId="25">
    <w:abstractNumId w:val="25"/>
  </w:num>
  <w:num w:numId="26">
    <w:abstractNumId w:val="20"/>
  </w:num>
  <w:num w:numId="27">
    <w:abstractNumId w:val="0"/>
  </w:num>
  <w:num w:numId="28">
    <w:abstractNumId w:val="36"/>
  </w:num>
  <w:num w:numId="29">
    <w:abstractNumId w:val="2"/>
  </w:num>
  <w:num w:numId="30">
    <w:abstractNumId w:val="5"/>
  </w:num>
  <w:num w:numId="31">
    <w:abstractNumId w:val="33"/>
  </w:num>
  <w:num w:numId="32">
    <w:abstractNumId w:val="29"/>
  </w:num>
  <w:num w:numId="33">
    <w:abstractNumId w:val="6"/>
  </w:num>
  <w:num w:numId="34">
    <w:abstractNumId w:val="9"/>
  </w:num>
  <w:num w:numId="35">
    <w:abstractNumId w:val="24"/>
  </w:num>
  <w:num w:numId="36">
    <w:abstractNumId w:val="14"/>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E9"/>
    <w:rsid w:val="00004BFB"/>
    <w:rsid w:val="00006B50"/>
    <w:rsid w:val="000233A4"/>
    <w:rsid w:val="00032D3F"/>
    <w:rsid w:val="00034615"/>
    <w:rsid w:val="000429C2"/>
    <w:rsid w:val="000465DE"/>
    <w:rsid w:val="0004733E"/>
    <w:rsid w:val="00050E0D"/>
    <w:rsid w:val="00050EF6"/>
    <w:rsid w:val="00056EA0"/>
    <w:rsid w:val="00060509"/>
    <w:rsid w:val="0006400A"/>
    <w:rsid w:val="00073B35"/>
    <w:rsid w:val="00083740"/>
    <w:rsid w:val="00094136"/>
    <w:rsid w:val="000C40BB"/>
    <w:rsid w:val="000E1BC5"/>
    <w:rsid w:val="000E1DD1"/>
    <w:rsid w:val="000E33C3"/>
    <w:rsid w:val="000E4441"/>
    <w:rsid w:val="000F0721"/>
    <w:rsid w:val="000F10C2"/>
    <w:rsid w:val="000F53E2"/>
    <w:rsid w:val="001148A8"/>
    <w:rsid w:val="00115CD9"/>
    <w:rsid w:val="00127BE5"/>
    <w:rsid w:val="0014316D"/>
    <w:rsid w:val="00146C6E"/>
    <w:rsid w:val="00164751"/>
    <w:rsid w:val="001670A2"/>
    <w:rsid w:val="00170B14"/>
    <w:rsid w:val="001802C1"/>
    <w:rsid w:val="001818D7"/>
    <w:rsid w:val="00185104"/>
    <w:rsid w:val="00195F8D"/>
    <w:rsid w:val="001962BE"/>
    <w:rsid w:val="00196689"/>
    <w:rsid w:val="00196935"/>
    <w:rsid w:val="0019746F"/>
    <w:rsid w:val="001A086E"/>
    <w:rsid w:val="001B21DD"/>
    <w:rsid w:val="001C16EA"/>
    <w:rsid w:val="001D0D34"/>
    <w:rsid w:val="001D70D4"/>
    <w:rsid w:val="001E51E4"/>
    <w:rsid w:val="001E7D12"/>
    <w:rsid w:val="00205F3F"/>
    <w:rsid w:val="0020675F"/>
    <w:rsid w:val="00216FC0"/>
    <w:rsid w:val="00220736"/>
    <w:rsid w:val="00230FE4"/>
    <w:rsid w:val="00233651"/>
    <w:rsid w:val="00254020"/>
    <w:rsid w:val="0025452A"/>
    <w:rsid w:val="0025499B"/>
    <w:rsid w:val="00285997"/>
    <w:rsid w:val="002A39EE"/>
    <w:rsid w:val="002B0582"/>
    <w:rsid w:val="002B31A3"/>
    <w:rsid w:val="002C6AAB"/>
    <w:rsid w:val="002D019A"/>
    <w:rsid w:val="002E0B3E"/>
    <w:rsid w:val="002E48E7"/>
    <w:rsid w:val="002E5873"/>
    <w:rsid w:val="00301F97"/>
    <w:rsid w:val="003140D6"/>
    <w:rsid w:val="00332E25"/>
    <w:rsid w:val="00336E37"/>
    <w:rsid w:val="003452E4"/>
    <w:rsid w:val="00350F22"/>
    <w:rsid w:val="00375E52"/>
    <w:rsid w:val="003840CC"/>
    <w:rsid w:val="003A4490"/>
    <w:rsid w:val="003B1CC3"/>
    <w:rsid w:val="003D3D2E"/>
    <w:rsid w:val="003D7BE7"/>
    <w:rsid w:val="003E08CF"/>
    <w:rsid w:val="003E111E"/>
    <w:rsid w:val="003F3D44"/>
    <w:rsid w:val="00410985"/>
    <w:rsid w:val="00421743"/>
    <w:rsid w:val="00430878"/>
    <w:rsid w:val="00436595"/>
    <w:rsid w:val="00441D0C"/>
    <w:rsid w:val="00445372"/>
    <w:rsid w:val="004539C3"/>
    <w:rsid w:val="00463325"/>
    <w:rsid w:val="00466E94"/>
    <w:rsid w:val="00472C6C"/>
    <w:rsid w:val="00480C09"/>
    <w:rsid w:val="00493710"/>
    <w:rsid w:val="00493ED6"/>
    <w:rsid w:val="00495CD1"/>
    <w:rsid w:val="00496BCF"/>
    <w:rsid w:val="00497AED"/>
    <w:rsid w:val="004B2847"/>
    <w:rsid w:val="004E0B99"/>
    <w:rsid w:val="004E38F3"/>
    <w:rsid w:val="004E719D"/>
    <w:rsid w:val="004F6394"/>
    <w:rsid w:val="00502D16"/>
    <w:rsid w:val="005051AF"/>
    <w:rsid w:val="00505830"/>
    <w:rsid w:val="00507DC0"/>
    <w:rsid w:val="00507DF4"/>
    <w:rsid w:val="005103B8"/>
    <w:rsid w:val="00512C08"/>
    <w:rsid w:val="005144C0"/>
    <w:rsid w:val="00521119"/>
    <w:rsid w:val="005216CF"/>
    <w:rsid w:val="00526EE9"/>
    <w:rsid w:val="0053409A"/>
    <w:rsid w:val="00537C0C"/>
    <w:rsid w:val="005423D4"/>
    <w:rsid w:val="005537B0"/>
    <w:rsid w:val="00556CBA"/>
    <w:rsid w:val="005776FD"/>
    <w:rsid w:val="0058199E"/>
    <w:rsid w:val="00583376"/>
    <w:rsid w:val="005A6427"/>
    <w:rsid w:val="005C17DF"/>
    <w:rsid w:val="005C3607"/>
    <w:rsid w:val="005D009F"/>
    <w:rsid w:val="005D5146"/>
    <w:rsid w:val="005D6347"/>
    <w:rsid w:val="005D7B81"/>
    <w:rsid w:val="005E117C"/>
    <w:rsid w:val="005E411E"/>
    <w:rsid w:val="005E57A9"/>
    <w:rsid w:val="005E58DB"/>
    <w:rsid w:val="005F051C"/>
    <w:rsid w:val="00601843"/>
    <w:rsid w:val="006115E8"/>
    <w:rsid w:val="00615D3D"/>
    <w:rsid w:val="00624FC5"/>
    <w:rsid w:val="006474BB"/>
    <w:rsid w:val="006664E9"/>
    <w:rsid w:val="006910A3"/>
    <w:rsid w:val="00693242"/>
    <w:rsid w:val="006A2AB3"/>
    <w:rsid w:val="006A4D72"/>
    <w:rsid w:val="006B5C10"/>
    <w:rsid w:val="006C4465"/>
    <w:rsid w:val="006C74DF"/>
    <w:rsid w:val="006F4D70"/>
    <w:rsid w:val="00744250"/>
    <w:rsid w:val="00750CEA"/>
    <w:rsid w:val="00764245"/>
    <w:rsid w:val="00766015"/>
    <w:rsid w:val="007764CE"/>
    <w:rsid w:val="00777B12"/>
    <w:rsid w:val="0079147D"/>
    <w:rsid w:val="007A0BCC"/>
    <w:rsid w:val="007B07AE"/>
    <w:rsid w:val="007B11ED"/>
    <w:rsid w:val="007B50D0"/>
    <w:rsid w:val="007B6768"/>
    <w:rsid w:val="007C2085"/>
    <w:rsid w:val="007D4801"/>
    <w:rsid w:val="007D529A"/>
    <w:rsid w:val="007D77ED"/>
    <w:rsid w:val="007E600F"/>
    <w:rsid w:val="007F1F19"/>
    <w:rsid w:val="00800E25"/>
    <w:rsid w:val="00801B63"/>
    <w:rsid w:val="00820F56"/>
    <w:rsid w:val="008401D8"/>
    <w:rsid w:val="00842645"/>
    <w:rsid w:val="00845FC1"/>
    <w:rsid w:val="008527BF"/>
    <w:rsid w:val="00855381"/>
    <w:rsid w:val="00856D8A"/>
    <w:rsid w:val="00857C10"/>
    <w:rsid w:val="008756A4"/>
    <w:rsid w:val="00875924"/>
    <w:rsid w:val="00877EC7"/>
    <w:rsid w:val="00883095"/>
    <w:rsid w:val="00885A20"/>
    <w:rsid w:val="00887281"/>
    <w:rsid w:val="00896E94"/>
    <w:rsid w:val="008A5BEC"/>
    <w:rsid w:val="008B0705"/>
    <w:rsid w:val="008B11DD"/>
    <w:rsid w:val="008C6B3A"/>
    <w:rsid w:val="008D6534"/>
    <w:rsid w:val="00900748"/>
    <w:rsid w:val="00902C9B"/>
    <w:rsid w:val="009135E0"/>
    <w:rsid w:val="00915CA4"/>
    <w:rsid w:val="00950820"/>
    <w:rsid w:val="009577A1"/>
    <w:rsid w:val="00961071"/>
    <w:rsid w:val="00963062"/>
    <w:rsid w:val="009735FA"/>
    <w:rsid w:val="00977ECA"/>
    <w:rsid w:val="00981817"/>
    <w:rsid w:val="00982180"/>
    <w:rsid w:val="009928B2"/>
    <w:rsid w:val="009A61E3"/>
    <w:rsid w:val="009A6A1F"/>
    <w:rsid w:val="009C61B2"/>
    <w:rsid w:val="009D0460"/>
    <w:rsid w:val="009D5928"/>
    <w:rsid w:val="009D6571"/>
    <w:rsid w:val="009E1C1D"/>
    <w:rsid w:val="009E3F42"/>
    <w:rsid w:val="009E5D05"/>
    <w:rsid w:val="009E6F29"/>
    <w:rsid w:val="009F6F37"/>
    <w:rsid w:val="00A02B97"/>
    <w:rsid w:val="00A0666E"/>
    <w:rsid w:val="00A10136"/>
    <w:rsid w:val="00A177CB"/>
    <w:rsid w:val="00A20F73"/>
    <w:rsid w:val="00A337FF"/>
    <w:rsid w:val="00A41969"/>
    <w:rsid w:val="00A55672"/>
    <w:rsid w:val="00A60413"/>
    <w:rsid w:val="00A77A0C"/>
    <w:rsid w:val="00A83658"/>
    <w:rsid w:val="00A85489"/>
    <w:rsid w:val="00A87B1F"/>
    <w:rsid w:val="00AA336E"/>
    <w:rsid w:val="00AA428E"/>
    <w:rsid w:val="00AB69DC"/>
    <w:rsid w:val="00AD1AA6"/>
    <w:rsid w:val="00AF1F2A"/>
    <w:rsid w:val="00AF30EF"/>
    <w:rsid w:val="00AF5490"/>
    <w:rsid w:val="00B11C3E"/>
    <w:rsid w:val="00B24C74"/>
    <w:rsid w:val="00B33107"/>
    <w:rsid w:val="00B336C5"/>
    <w:rsid w:val="00B37957"/>
    <w:rsid w:val="00B4633B"/>
    <w:rsid w:val="00B758C7"/>
    <w:rsid w:val="00B76A17"/>
    <w:rsid w:val="00B777AF"/>
    <w:rsid w:val="00B80D83"/>
    <w:rsid w:val="00B81322"/>
    <w:rsid w:val="00B81789"/>
    <w:rsid w:val="00B817E0"/>
    <w:rsid w:val="00B92242"/>
    <w:rsid w:val="00B92DF1"/>
    <w:rsid w:val="00B94F06"/>
    <w:rsid w:val="00BA1DA4"/>
    <w:rsid w:val="00BB672F"/>
    <w:rsid w:val="00BC43C4"/>
    <w:rsid w:val="00BD7A36"/>
    <w:rsid w:val="00BE02D1"/>
    <w:rsid w:val="00BE1616"/>
    <w:rsid w:val="00BF16BB"/>
    <w:rsid w:val="00BF4150"/>
    <w:rsid w:val="00C01AA6"/>
    <w:rsid w:val="00C06257"/>
    <w:rsid w:val="00C079B0"/>
    <w:rsid w:val="00C10DF0"/>
    <w:rsid w:val="00C14250"/>
    <w:rsid w:val="00C14CD6"/>
    <w:rsid w:val="00C2297C"/>
    <w:rsid w:val="00C44D82"/>
    <w:rsid w:val="00C50B2F"/>
    <w:rsid w:val="00C55B74"/>
    <w:rsid w:val="00C64BB4"/>
    <w:rsid w:val="00C73CF5"/>
    <w:rsid w:val="00C749D2"/>
    <w:rsid w:val="00C75BD4"/>
    <w:rsid w:val="00C77455"/>
    <w:rsid w:val="00C81965"/>
    <w:rsid w:val="00C96847"/>
    <w:rsid w:val="00CA1D6E"/>
    <w:rsid w:val="00CA53B9"/>
    <w:rsid w:val="00CA5C08"/>
    <w:rsid w:val="00CF2624"/>
    <w:rsid w:val="00D15A34"/>
    <w:rsid w:val="00D22C24"/>
    <w:rsid w:val="00D317E4"/>
    <w:rsid w:val="00D36448"/>
    <w:rsid w:val="00D37486"/>
    <w:rsid w:val="00D41805"/>
    <w:rsid w:val="00D422E8"/>
    <w:rsid w:val="00D425F8"/>
    <w:rsid w:val="00D447ED"/>
    <w:rsid w:val="00D574CA"/>
    <w:rsid w:val="00D71BC4"/>
    <w:rsid w:val="00D71BFD"/>
    <w:rsid w:val="00D7745E"/>
    <w:rsid w:val="00D916C5"/>
    <w:rsid w:val="00D91B0F"/>
    <w:rsid w:val="00D92A9D"/>
    <w:rsid w:val="00DA130E"/>
    <w:rsid w:val="00DA20BF"/>
    <w:rsid w:val="00DB0658"/>
    <w:rsid w:val="00DB1DE9"/>
    <w:rsid w:val="00DB7073"/>
    <w:rsid w:val="00DC085F"/>
    <w:rsid w:val="00DC0B79"/>
    <w:rsid w:val="00DC2060"/>
    <w:rsid w:val="00DD025A"/>
    <w:rsid w:val="00DD0375"/>
    <w:rsid w:val="00DD41A7"/>
    <w:rsid w:val="00DD6ADB"/>
    <w:rsid w:val="00DD7D7A"/>
    <w:rsid w:val="00DE18E2"/>
    <w:rsid w:val="00E409B2"/>
    <w:rsid w:val="00E41031"/>
    <w:rsid w:val="00E5063B"/>
    <w:rsid w:val="00E6578A"/>
    <w:rsid w:val="00E7516C"/>
    <w:rsid w:val="00E82772"/>
    <w:rsid w:val="00E84F25"/>
    <w:rsid w:val="00E94970"/>
    <w:rsid w:val="00E97C17"/>
    <w:rsid w:val="00EA3809"/>
    <w:rsid w:val="00EB3A1B"/>
    <w:rsid w:val="00EC11F5"/>
    <w:rsid w:val="00ED0A0D"/>
    <w:rsid w:val="00EE137D"/>
    <w:rsid w:val="00F03DC0"/>
    <w:rsid w:val="00F042F5"/>
    <w:rsid w:val="00F0718C"/>
    <w:rsid w:val="00F2705D"/>
    <w:rsid w:val="00F320E2"/>
    <w:rsid w:val="00F422E1"/>
    <w:rsid w:val="00F45228"/>
    <w:rsid w:val="00F46A72"/>
    <w:rsid w:val="00F52E60"/>
    <w:rsid w:val="00F5702C"/>
    <w:rsid w:val="00F67BBD"/>
    <w:rsid w:val="00F71F8E"/>
    <w:rsid w:val="00F74762"/>
    <w:rsid w:val="00F80A57"/>
    <w:rsid w:val="00F869CC"/>
    <w:rsid w:val="00F91367"/>
    <w:rsid w:val="00F95133"/>
    <w:rsid w:val="00FA0CFC"/>
    <w:rsid w:val="00FB0592"/>
    <w:rsid w:val="00FB139B"/>
    <w:rsid w:val="00FB17E0"/>
    <w:rsid w:val="00FC793C"/>
    <w:rsid w:val="00FD239E"/>
    <w:rsid w:val="00FD2CD2"/>
    <w:rsid w:val="00FE2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59B06549"/>
  <w15:docId w15:val="{32FCCF74-AD36-48A9-99B8-9BB6FA49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DD1"/>
    <w:rPr>
      <w:sz w:val="24"/>
      <w:szCs w:val="24"/>
    </w:rPr>
  </w:style>
  <w:style w:type="paragraph" w:styleId="Heading1">
    <w:name w:val="heading 1"/>
    <w:basedOn w:val="Normal"/>
    <w:next w:val="Normal"/>
    <w:link w:val="Heading1Char"/>
    <w:uiPriority w:val="99"/>
    <w:qFormat/>
    <w:rsid w:val="000E1DD1"/>
    <w:pPr>
      <w:keepNext/>
      <w:outlineLvl w:val="0"/>
    </w:pPr>
    <w:rPr>
      <w:b/>
      <w:bCs/>
      <w:sz w:val="20"/>
      <w:szCs w:val="12"/>
    </w:rPr>
  </w:style>
  <w:style w:type="paragraph" w:styleId="Heading2">
    <w:name w:val="heading 2"/>
    <w:basedOn w:val="Normal"/>
    <w:next w:val="Normal"/>
    <w:link w:val="Heading2Char"/>
    <w:uiPriority w:val="99"/>
    <w:qFormat/>
    <w:rsid w:val="000E1DD1"/>
    <w:pPr>
      <w:keepNext/>
      <w:outlineLvl w:val="1"/>
    </w:pPr>
    <w:rPr>
      <w:b/>
      <w:bCs/>
      <w:u w:val="single"/>
    </w:rPr>
  </w:style>
  <w:style w:type="paragraph" w:styleId="Heading3">
    <w:name w:val="heading 3"/>
    <w:basedOn w:val="Normal"/>
    <w:next w:val="Normal"/>
    <w:link w:val="Heading3Char"/>
    <w:uiPriority w:val="99"/>
    <w:qFormat/>
    <w:rsid w:val="000E1DD1"/>
    <w:pPr>
      <w:keepNext/>
      <w:outlineLvl w:val="2"/>
    </w:pPr>
    <w:rPr>
      <w:b/>
      <w:bCs/>
    </w:rPr>
  </w:style>
  <w:style w:type="paragraph" w:styleId="Heading4">
    <w:name w:val="heading 4"/>
    <w:basedOn w:val="Normal"/>
    <w:next w:val="Normal"/>
    <w:link w:val="Heading4Char"/>
    <w:uiPriority w:val="99"/>
    <w:qFormat/>
    <w:rsid w:val="000E1DD1"/>
    <w:pPr>
      <w:keepNext/>
      <w:jc w:val="center"/>
      <w:outlineLvl w:val="3"/>
    </w:pPr>
    <w:rPr>
      <w:b/>
      <w:bCs/>
    </w:rPr>
  </w:style>
  <w:style w:type="paragraph" w:styleId="Heading5">
    <w:name w:val="heading 5"/>
    <w:basedOn w:val="Normal"/>
    <w:next w:val="Normal"/>
    <w:link w:val="Heading5Char"/>
    <w:uiPriority w:val="99"/>
    <w:qFormat/>
    <w:rsid w:val="000E1DD1"/>
    <w:pPr>
      <w:keepNext/>
      <w:outlineLvl w:val="4"/>
    </w:pPr>
    <w:rPr>
      <w:b/>
      <w:szCs w:val="20"/>
    </w:rPr>
  </w:style>
  <w:style w:type="paragraph" w:styleId="Heading6">
    <w:name w:val="heading 6"/>
    <w:basedOn w:val="Normal"/>
    <w:next w:val="Normal"/>
    <w:link w:val="Heading6Char"/>
    <w:uiPriority w:val="99"/>
    <w:qFormat/>
    <w:rsid w:val="000E1DD1"/>
    <w:pPr>
      <w:keepNext/>
      <w:tabs>
        <w:tab w:val="num" w:pos="0"/>
      </w:tabs>
      <w:jc w:val="center"/>
      <w:outlineLvl w:val="5"/>
    </w:pPr>
    <w:rPr>
      <w:b/>
      <w:szCs w:val="20"/>
    </w:rPr>
  </w:style>
  <w:style w:type="paragraph" w:styleId="Heading7">
    <w:name w:val="heading 7"/>
    <w:basedOn w:val="Normal"/>
    <w:next w:val="Normal"/>
    <w:link w:val="Heading7Char"/>
    <w:uiPriority w:val="99"/>
    <w:qFormat/>
    <w:rsid w:val="000E1DD1"/>
    <w:pPr>
      <w:keepNext/>
      <w:outlineLvl w:val="6"/>
    </w:pPr>
    <w:rPr>
      <w:rFonts w:ascii="Bookman Old Style" w:hAnsi="Bookman Old Style"/>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3D2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D3D2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3D3D2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3D3D2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3D3D2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3D3D2E"/>
    <w:rPr>
      <w:rFonts w:ascii="Calibri" w:hAnsi="Calibri" w:cs="Times New Roman"/>
      <w:b/>
      <w:bCs/>
    </w:rPr>
  </w:style>
  <w:style w:type="character" w:customStyle="1" w:styleId="Heading7Char">
    <w:name w:val="Heading 7 Char"/>
    <w:basedOn w:val="DefaultParagraphFont"/>
    <w:link w:val="Heading7"/>
    <w:uiPriority w:val="99"/>
    <w:semiHidden/>
    <w:locked/>
    <w:rsid w:val="003D3D2E"/>
    <w:rPr>
      <w:rFonts w:ascii="Calibri" w:hAnsi="Calibri" w:cs="Times New Roman"/>
      <w:sz w:val="24"/>
      <w:szCs w:val="24"/>
    </w:rPr>
  </w:style>
  <w:style w:type="paragraph" w:styleId="Header">
    <w:name w:val="header"/>
    <w:basedOn w:val="Normal"/>
    <w:link w:val="HeaderChar"/>
    <w:uiPriority w:val="99"/>
    <w:rsid w:val="000E1DD1"/>
    <w:pPr>
      <w:tabs>
        <w:tab w:val="center" w:pos="4320"/>
        <w:tab w:val="right" w:pos="8640"/>
      </w:tabs>
    </w:pPr>
  </w:style>
  <w:style w:type="character" w:customStyle="1" w:styleId="HeaderChar">
    <w:name w:val="Header Char"/>
    <w:basedOn w:val="DefaultParagraphFont"/>
    <w:link w:val="Header"/>
    <w:uiPriority w:val="99"/>
    <w:semiHidden/>
    <w:locked/>
    <w:rsid w:val="003D3D2E"/>
    <w:rPr>
      <w:rFonts w:cs="Times New Roman"/>
      <w:sz w:val="24"/>
      <w:szCs w:val="24"/>
    </w:rPr>
  </w:style>
  <w:style w:type="paragraph" w:styleId="Footer">
    <w:name w:val="footer"/>
    <w:basedOn w:val="Normal"/>
    <w:link w:val="FooterChar"/>
    <w:uiPriority w:val="99"/>
    <w:rsid w:val="000E1DD1"/>
    <w:pPr>
      <w:tabs>
        <w:tab w:val="center" w:pos="4320"/>
        <w:tab w:val="right" w:pos="8640"/>
      </w:tabs>
    </w:pPr>
  </w:style>
  <w:style w:type="character" w:customStyle="1" w:styleId="FooterChar">
    <w:name w:val="Footer Char"/>
    <w:basedOn w:val="DefaultParagraphFont"/>
    <w:link w:val="Footer"/>
    <w:uiPriority w:val="99"/>
    <w:locked/>
    <w:rsid w:val="00D574CA"/>
    <w:rPr>
      <w:rFonts w:cs="Times New Roman"/>
      <w:sz w:val="24"/>
    </w:rPr>
  </w:style>
  <w:style w:type="paragraph" w:styleId="Title">
    <w:name w:val="Title"/>
    <w:basedOn w:val="Normal"/>
    <w:link w:val="TitleChar"/>
    <w:uiPriority w:val="99"/>
    <w:qFormat/>
    <w:rsid w:val="000E1DD1"/>
    <w:pPr>
      <w:jc w:val="center"/>
    </w:pPr>
    <w:rPr>
      <w:b/>
      <w:bCs/>
      <w:szCs w:val="20"/>
    </w:rPr>
  </w:style>
  <w:style w:type="character" w:customStyle="1" w:styleId="TitleChar">
    <w:name w:val="Title Char"/>
    <w:basedOn w:val="DefaultParagraphFont"/>
    <w:link w:val="Title"/>
    <w:uiPriority w:val="99"/>
    <w:locked/>
    <w:rsid w:val="003D3D2E"/>
    <w:rPr>
      <w:rFonts w:ascii="Cambria" w:hAnsi="Cambria" w:cs="Times New Roman"/>
      <w:b/>
      <w:bCs/>
      <w:kern w:val="28"/>
      <w:sz w:val="32"/>
      <w:szCs w:val="32"/>
    </w:rPr>
  </w:style>
  <w:style w:type="character" w:customStyle="1" w:styleId="EmailStyle20">
    <w:name w:val="EmailStyle20"/>
    <w:uiPriority w:val="99"/>
    <w:rsid w:val="000E1DD1"/>
    <w:rPr>
      <w:rFonts w:ascii="Arial" w:hAnsi="Arial"/>
      <w:color w:val="000000"/>
      <w:sz w:val="20"/>
    </w:rPr>
  </w:style>
  <w:style w:type="paragraph" w:styleId="NormalWeb">
    <w:name w:val="Normal (Web)"/>
    <w:basedOn w:val="Normal"/>
    <w:uiPriority w:val="99"/>
    <w:rsid w:val="000E1DD1"/>
    <w:pPr>
      <w:spacing w:before="100" w:beforeAutospacing="1" w:after="100" w:afterAutospacing="1"/>
    </w:pPr>
    <w:rPr>
      <w:rFonts w:ascii="Arial Unicode MS" w:hAnsi="Arial Unicode MS" w:cs="Arial Unicode MS"/>
    </w:rPr>
  </w:style>
  <w:style w:type="character" w:styleId="Strong">
    <w:name w:val="Strong"/>
    <w:basedOn w:val="DefaultParagraphFont"/>
    <w:uiPriority w:val="99"/>
    <w:qFormat/>
    <w:rsid w:val="000E1DD1"/>
    <w:rPr>
      <w:rFonts w:cs="Times New Roman"/>
      <w:b/>
    </w:rPr>
  </w:style>
  <w:style w:type="character" w:styleId="Hyperlink">
    <w:name w:val="Hyperlink"/>
    <w:basedOn w:val="DefaultParagraphFont"/>
    <w:uiPriority w:val="99"/>
    <w:rsid w:val="004E0B99"/>
    <w:rPr>
      <w:rFonts w:cs="Times New Roman"/>
      <w:color w:val="0000FF"/>
      <w:u w:val="single"/>
    </w:rPr>
  </w:style>
  <w:style w:type="character" w:styleId="FollowedHyperlink">
    <w:name w:val="FollowedHyperlink"/>
    <w:basedOn w:val="DefaultParagraphFont"/>
    <w:uiPriority w:val="99"/>
    <w:rsid w:val="00AF1F2A"/>
    <w:rPr>
      <w:rFonts w:cs="Times New Roman"/>
      <w:color w:val="800080"/>
      <w:u w:val="single"/>
    </w:rPr>
  </w:style>
  <w:style w:type="paragraph" w:styleId="BalloonText">
    <w:name w:val="Balloon Text"/>
    <w:basedOn w:val="Normal"/>
    <w:link w:val="BalloonTextChar"/>
    <w:uiPriority w:val="99"/>
    <w:semiHidden/>
    <w:rsid w:val="00A87B1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3D2E"/>
    <w:rPr>
      <w:rFonts w:cs="Times New Roman"/>
      <w:sz w:val="2"/>
    </w:rPr>
  </w:style>
  <w:style w:type="table" w:styleId="TableTheme">
    <w:name w:val="Table Theme"/>
    <w:basedOn w:val="TableNormal"/>
    <w:uiPriority w:val="99"/>
    <w:rsid w:val="00D3644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MainHead">
    <w:name w:val="Policy Main Head"/>
    <w:basedOn w:val="Normal"/>
    <w:uiPriority w:val="99"/>
    <w:rsid w:val="00D574CA"/>
    <w:pPr>
      <w:widowControl w:val="0"/>
      <w:spacing w:after="200" w:line="276" w:lineRule="auto"/>
    </w:pPr>
    <w:rPr>
      <w:rFonts w:ascii="Arial Narrow" w:hAnsi="Arial Narrow"/>
      <w:noProof/>
      <w:color w:val="11406B"/>
      <w:sz w:val="48"/>
      <w:szCs w:val="48"/>
    </w:rPr>
  </w:style>
  <w:style w:type="table" w:styleId="LightList-Accent1">
    <w:name w:val="Light List Accent 1"/>
    <w:basedOn w:val="TableNormal"/>
    <w:uiPriority w:val="99"/>
    <w:rsid w:val="005423D4"/>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TableGrid">
    <w:name w:val="Table Grid"/>
    <w:basedOn w:val="TableNormal"/>
    <w:uiPriority w:val="99"/>
    <w:rsid w:val="00B777A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3F3D44"/>
    <w:rPr>
      <w:rFonts w:cs="Times New Roman"/>
      <w:sz w:val="16"/>
      <w:szCs w:val="16"/>
    </w:rPr>
  </w:style>
  <w:style w:type="paragraph" w:styleId="CommentText">
    <w:name w:val="annotation text"/>
    <w:basedOn w:val="Normal"/>
    <w:link w:val="CommentTextChar"/>
    <w:uiPriority w:val="99"/>
    <w:rsid w:val="003F3D44"/>
    <w:rPr>
      <w:sz w:val="20"/>
      <w:szCs w:val="20"/>
    </w:rPr>
  </w:style>
  <w:style w:type="character" w:customStyle="1" w:styleId="CommentTextChar">
    <w:name w:val="Comment Text Char"/>
    <w:basedOn w:val="DefaultParagraphFont"/>
    <w:link w:val="CommentText"/>
    <w:uiPriority w:val="99"/>
    <w:locked/>
    <w:rsid w:val="003F3D44"/>
    <w:rPr>
      <w:rFonts w:cs="Times New Roman"/>
    </w:rPr>
  </w:style>
  <w:style w:type="paragraph" w:styleId="CommentSubject">
    <w:name w:val="annotation subject"/>
    <w:basedOn w:val="CommentText"/>
    <w:next w:val="CommentText"/>
    <w:link w:val="CommentSubjectChar"/>
    <w:uiPriority w:val="99"/>
    <w:rsid w:val="003F3D44"/>
    <w:rPr>
      <w:b/>
      <w:bCs/>
    </w:rPr>
  </w:style>
  <w:style w:type="character" w:customStyle="1" w:styleId="CommentSubjectChar">
    <w:name w:val="Comment Subject Char"/>
    <w:basedOn w:val="CommentTextChar"/>
    <w:link w:val="CommentSubject"/>
    <w:uiPriority w:val="99"/>
    <w:locked/>
    <w:rsid w:val="003F3D44"/>
    <w:rPr>
      <w:rFonts w:cs="Times New Roman"/>
      <w:b/>
      <w:bCs/>
    </w:rPr>
  </w:style>
  <w:style w:type="paragraph" w:styleId="ListParagraph">
    <w:name w:val="List Paragraph"/>
    <w:basedOn w:val="Normal"/>
    <w:uiPriority w:val="34"/>
    <w:qFormat/>
    <w:rsid w:val="000E33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294351">
      <w:marLeft w:val="0"/>
      <w:marRight w:val="0"/>
      <w:marTop w:val="0"/>
      <w:marBottom w:val="0"/>
      <w:divBdr>
        <w:top w:val="none" w:sz="0" w:space="0" w:color="auto"/>
        <w:left w:val="none" w:sz="0" w:space="0" w:color="auto"/>
        <w:bottom w:val="none" w:sz="0" w:space="0" w:color="auto"/>
        <w:right w:val="none" w:sz="0" w:space="0" w:color="auto"/>
      </w:divBdr>
    </w:div>
    <w:div w:id="489294353">
      <w:marLeft w:val="0"/>
      <w:marRight w:val="0"/>
      <w:marTop w:val="0"/>
      <w:marBottom w:val="0"/>
      <w:divBdr>
        <w:top w:val="none" w:sz="0" w:space="0" w:color="auto"/>
        <w:left w:val="none" w:sz="0" w:space="0" w:color="auto"/>
        <w:bottom w:val="none" w:sz="0" w:space="0" w:color="auto"/>
        <w:right w:val="none" w:sz="0" w:space="0" w:color="auto"/>
      </w:divBdr>
      <w:divsChild>
        <w:div w:id="489294352">
          <w:marLeft w:val="0"/>
          <w:marRight w:val="0"/>
          <w:marTop w:val="0"/>
          <w:marBottom w:val="0"/>
          <w:divBdr>
            <w:top w:val="none" w:sz="0" w:space="0" w:color="auto"/>
            <w:left w:val="none" w:sz="0" w:space="0" w:color="auto"/>
            <w:bottom w:val="none" w:sz="0" w:space="0" w:color="auto"/>
            <w:right w:val="none" w:sz="0" w:space="0" w:color="auto"/>
          </w:divBdr>
        </w:div>
        <w:div w:id="489294355">
          <w:marLeft w:val="0"/>
          <w:marRight w:val="0"/>
          <w:marTop w:val="0"/>
          <w:marBottom w:val="0"/>
          <w:divBdr>
            <w:top w:val="none" w:sz="0" w:space="0" w:color="auto"/>
            <w:left w:val="none" w:sz="0" w:space="0" w:color="auto"/>
            <w:bottom w:val="none" w:sz="0" w:space="0" w:color="auto"/>
            <w:right w:val="none" w:sz="0" w:space="0" w:color="auto"/>
          </w:divBdr>
        </w:div>
      </w:divsChild>
    </w:div>
    <w:div w:id="489294354">
      <w:marLeft w:val="0"/>
      <w:marRight w:val="0"/>
      <w:marTop w:val="0"/>
      <w:marBottom w:val="0"/>
      <w:divBdr>
        <w:top w:val="none" w:sz="0" w:space="0" w:color="auto"/>
        <w:left w:val="none" w:sz="0" w:space="0" w:color="auto"/>
        <w:bottom w:val="none" w:sz="0" w:space="0" w:color="auto"/>
        <w:right w:val="none" w:sz="0" w:space="0" w:color="auto"/>
      </w:divBdr>
    </w:div>
    <w:div w:id="493687855">
      <w:bodyDiv w:val="1"/>
      <w:marLeft w:val="0"/>
      <w:marRight w:val="0"/>
      <w:marTop w:val="0"/>
      <w:marBottom w:val="0"/>
      <w:divBdr>
        <w:top w:val="none" w:sz="0" w:space="0" w:color="auto"/>
        <w:left w:val="none" w:sz="0" w:space="0" w:color="auto"/>
        <w:bottom w:val="none" w:sz="0" w:space="0" w:color="auto"/>
        <w:right w:val="none" w:sz="0" w:space="0" w:color="auto"/>
      </w:divBdr>
      <w:divsChild>
        <w:div w:id="1332178706">
          <w:marLeft w:val="0"/>
          <w:marRight w:val="1"/>
          <w:marTop w:val="0"/>
          <w:marBottom w:val="0"/>
          <w:divBdr>
            <w:top w:val="none" w:sz="0" w:space="0" w:color="auto"/>
            <w:left w:val="none" w:sz="0" w:space="0" w:color="auto"/>
            <w:bottom w:val="none" w:sz="0" w:space="0" w:color="auto"/>
            <w:right w:val="none" w:sz="0" w:space="0" w:color="auto"/>
          </w:divBdr>
          <w:divsChild>
            <w:div w:id="1894388139">
              <w:marLeft w:val="0"/>
              <w:marRight w:val="0"/>
              <w:marTop w:val="0"/>
              <w:marBottom w:val="0"/>
              <w:divBdr>
                <w:top w:val="none" w:sz="0" w:space="0" w:color="auto"/>
                <w:left w:val="none" w:sz="0" w:space="0" w:color="auto"/>
                <w:bottom w:val="none" w:sz="0" w:space="0" w:color="auto"/>
                <w:right w:val="none" w:sz="0" w:space="0" w:color="auto"/>
              </w:divBdr>
              <w:divsChild>
                <w:div w:id="886643680">
                  <w:marLeft w:val="0"/>
                  <w:marRight w:val="1"/>
                  <w:marTop w:val="0"/>
                  <w:marBottom w:val="0"/>
                  <w:divBdr>
                    <w:top w:val="none" w:sz="0" w:space="0" w:color="auto"/>
                    <w:left w:val="none" w:sz="0" w:space="0" w:color="auto"/>
                    <w:bottom w:val="none" w:sz="0" w:space="0" w:color="auto"/>
                    <w:right w:val="none" w:sz="0" w:space="0" w:color="auto"/>
                  </w:divBdr>
                  <w:divsChild>
                    <w:div w:id="1530683423">
                      <w:marLeft w:val="0"/>
                      <w:marRight w:val="0"/>
                      <w:marTop w:val="0"/>
                      <w:marBottom w:val="0"/>
                      <w:divBdr>
                        <w:top w:val="none" w:sz="0" w:space="0" w:color="auto"/>
                        <w:left w:val="none" w:sz="0" w:space="0" w:color="auto"/>
                        <w:bottom w:val="none" w:sz="0" w:space="0" w:color="auto"/>
                        <w:right w:val="none" w:sz="0" w:space="0" w:color="auto"/>
                      </w:divBdr>
                      <w:divsChild>
                        <w:div w:id="1641764148">
                          <w:marLeft w:val="0"/>
                          <w:marRight w:val="0"/>
                          <w:marTop w:val="0"/>
                          <w:marBottom w:val="0"/>
                          <w:divBdr>
                            <w:top w:val="none" w:sz="0" w:space="0" w:color="auto"/>
                            <w:left w:val="none" w:sz="0" w:space="0" w:color="auto"/>
                            <w:bottom w:val="none" w:sz="0" w:space="0" w:color="auto"/>
                            <w:right w:val="none" w:sz="0" w:space="0" w:color="auto"/>
                          </w:divBdr>
                          <w:divsChild>
                            <w:div w:id="652684971">
                              <w:marLeft w:val="0"/>
                              <w:marRight w:val="0"/>
                              <w:marTop w:val="120"/>
                              <w:marBottom w:val="360"/>
                              <w:divBdr>
                                <w:top w:val="none" w:sz="0" w:space="0" w:color="auto"/>
                                <w:left w:val="none" w:sz="0" w:space="0" w:color="auto"/>
                                <w:bottom w:val="none" w:sz="0" w:space="0" w:color="auto"/>
                                <w:right w:val="none" w:sz="0" w:space="0" w:color="auto"/>
                              </w:divBdr>
                              <w:divsChild>
                                <w:div w:id="1152527896">
                                  <w:marLeft w:val="0"/>
                                  <w:marRight w:val="0"/>
                                  <w:marTop w:val="0"/>
                                  <w:marBottom w:val="0"/>
                                  <w:divBdr>
                                    <w:top w:val="none" w:sz="0" w:space="0" w:color="auto"/>
                                    <w:left w:val="none" w:sz="0" w:space="0" w:color="auto"/>
                                    <w:bottom w:val="none" w:sz="0" w:space="0" w:color="auto"/>
                                    <w:right w:val="none" w:sz="0" w:space="0" w:color="auto"/>
                                  </w:divBdr>
                                </w:div>
                                <w:div w:id="181043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595918">
      <w:bodyDiv w:val="1"/>
      <w:marLeft w:val="0"/>
      <w:marRight w:val="0"/>
      <w:marTop w:val="0"/>
      <w:marBottom w:val="0"/>
      <w:divBdr>
        <w:top w:val="none" w:sz="0" w:space="0" w:color="auto"/>
        <w:left w:val="none" w:sz="0" w:space="0" w:color="auto"/>
        <w:bottom w:val="none" w:sz="0" w:space="0" w:color="auto"/>
        <w:right w:val="none" w:sz="0" w:space="0" w:color="auto"/>
      </w:divBdr>
      <w:divsChild>
        <w:div w:id="568539455">
          <w:marLeft w:val="0"/>
          <w:marRight w:val="0"/>
          <w:marTop w:val="0"/>
          <w:marBottom w:val="0"/>
          <w:divBdr>
            <w:top w:val="none" w:sz="0" w:space="0" w:color="auto"/>
            <w:left w:val="none" w:sz="0" w:space="0" w:color="auto"/>
            <w:bottom w:val="none" w:sz="0" w:space="0" w:color="auto"/>
            <w:right w:val="none" w:sz="0" w:space="0" w:color="auto"/>
          </w:divBdr>
          <w:divsChild>
            <w:div w:id="1510637438">
              <w:marLeft w:val="0"/>
              <w:marRight w:val="0"/>
              <w:marTop w:val="0"/>
              <w:marBottom w:val="0"/>
              <w:divBdr>
                <w:top w:val="none" w:sz="0" w:space="0" w:color="auto"/>
                <w:left w:val="none" w:sz="0" w:space="0" w:color="auto"/>
                <w:bottom w:val="none" w:sz="0" w:space="0" w:color="auto"/>
                <w:right w:val="none" w:sz="0" w:space="0" w:color="auto"/>
              </w:divBdr>
              <w:divsChild>
                <w:div w:id="881331927">
                  <w:marLeft w:val="450"/>
                  <w:marRight w:val="900"/>
                  <w:marTop w:val="450"/>
                  <w:marBottom w:val="450"/>
                  <w:divBdr>
                    <w:top w:val="none" w:sz="0" w:space="0" w:color="auto"/>
                    <w:left w:val="none" w:sz="0" w:space="0" w:color="auto"/>
                    <w:bottom w:val="none" w:sz="0" w:space="0" w:color="auto"/>
                    <w:right w:val="none" w:sz="0" w:space="0" w:color="auto"/>
                  </w:divBdr>
                  <w:divsChild>
                    <w:div w:id="4700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ncbi.nlm.nih.gov/pubmed/?term=Owens%20DK%5BAuthor%5D&amp;cauthor=true&amp;cauthor_uid=19363457"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ncbi.nlm.nih.gov/pubmed/?term=Loeser%20JD%5BAuthor%5D&amp;cauthor=true&amp;cauthor_uid=19363457" TargetMode="External"/><Relationship Id="rId2" Type="http://schemas.openxmlformats.org/officeDocument/2006/relationships/customXml" Target="../customXml/item2.xml"/><Relationship Id="rId16" Type="http://schemas.openxmlformats.org/officeDocument/2006/relationships/hyperlink" Target="http://www.ncbi.nlm.nih.gov/pubmed/?term=Chou%20R%5BAuthor%5D&amp;cauthor=true&amp;cauthor_uid=1936345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aans.org/pdf/Legislative/Washington_E-newsletter/Washington_E-news_Vol30_2014.pdf" TargetMode="External"/><Relationship Id="rId10" Type="http://schemas.openxmlformats.org/officeDocument/2006/relationships/endnotes" Target="endnotes.xml"/><Relationship Id="rId19" Type="http://schemas.openxmlformats.org/officeDocument/2006/relationships/hyperlink" Target="http://www.cm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0CDBC-3172-45AC-9428-BDC8C7FA5669}">
  <ds:schemaRefs>
    <ds:schemaRef ds:uri="http://schemas.microsoft.com/sharepoint/v3/contenttype/forms"/>
  </ds:schemaRefs>
</ds:datastoreItem>
</file>

<file path=customXml/itemProps2.xml><?xml version="1.0" encoding="utf-8"?>
<ds:datastoreItem xmlns:ds="http://schemas.openxmlformats.org/officeDocument/2006/customXml" ds:itemID="{C9B13073-2B19-44B5-8279-2A6B84856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A9C054B-6646-4AB9-8E5E-4E6D42DD78D4}">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0FC8128-D1DD-4DE0-88B0-0794ED906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2515</Words>
  <Characters>15766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Subject:</vt:lpstr>
    </vt:vector>
  </TitlesOfParts>
  <Company>CENTENE CORPORATION</Company>
  <LinksUpToDate>false</LinksUpToDate>
  <CharactersWithSpaces>18245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Centene User</dc:creator>
  <cp:lastModifiedBy>Emily C. Mahan</cp:lastModifiedBy>
  <cp:revision>2</cp:revision>
  <cp:lastPrinted>2015-06-25T20:16:00Z</cp:lastPrinted>
  <dcterms:created xsi:type="dcterms:W3CDTF">2019-06-25T19:54:00Z</dcterms:created>
  <dcterms:modified xsi:type="dcterms:W3CDTF">2019-06-25T19:54:00Z</dcterms:modified>
</cp:coreProperties>
</file>