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FACA8" w14:textId="1732E9EB" w:rsidR="00D574CA" w:rsidRPr="00B777AF" w:rsidRDefault="00230FE4" w:rsidP="00D574CA">
      <w:pPr>
        <w:pStyle w:val="PolicyMainHead"/>
        <w:tabs>
          <w:tab w:val="left" w:pos="360"/>
        </w:tabs>
        <w:spacing w:after="0" w:line="240" w:lineRule="auto"/>
        <w:rPr>
          <w:rFonts w:ascii="Times New Roman" w:hAnsi="Times New Roman"/>
          <w:color w:val="00548C"/>
          <w:sz w:val="36"/>
        </w:rPr>
      </w:pPr>
      <w:bookmarkStart w:id="0" w:name="_GoBack"/>
      <w:bookmarkEnd w:id="0"/>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9D5A9C">
        <w:rPr>
          <w:rFonts w:ascii="Times New Roman" w:hAnsi="Times New Roman"/>
          <w:color w:val="00548C"/>
          <w:sz w:val="36"/>
        </w:rPr>
        <w:t>Disc Decompression P</w:t>
      </w:r>
      <w:r w:rsidR="00461E3C">
        <w:rPr>
          <w:rFonts w:ascii="Times New Roman" w:hAnsi="Times New Roman"/>
          <w:color w:val="00548C"/>
          <w:sz w:val="36"/>
        </w:rPr>
        <w:t>rocedures</w:t>
      </w:r>
    </w:p>
    <w:p w14:paraId="420F8D10"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51109D88" w14:textId="15A57DC9" w:rsidR="00480C09" w:rsidRPr="003D7BE7" w:rsidRDefault="00D574CA" w:rsidP="002F1A2C">
      <w:pPr>
        <w:pStyle w:val="PolicyMainHead"/>
        <w:tabs>
          <w:tab w:val="left" w:pos="360"/>
        </w:tabs>
        <w:spacing w:after="0" w:line="240" w:lineRule="auto"/>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EF4911">
        <w:rPr>
          <w:rFonts w:ascii="Times New Roman" w:hAnsi="Times New Roman"/>
          <w:color w:val="00548C"/>
          <w:sz w:val="24"/>
          <w:szCs w:val="24"/>
        </w:rPr>
        <w:t>114</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480C09" w:rsidRPr="003D7BE7">
        <w:rPr>
          <w:rFonts w:ascii="Times New Roman" w:hAnsi="Times New Roman"/>
          <w:color w:val="00548C"/>
          <w:sz w:val="24"/>
          <w:szCs w:val="24"/>
        </w:rPr>
        <w:tab/>
      </w:r>
      <w:r w:rsidR="00131CCB">
        <w:rPr>
          <w:rFonts w:ascii="Times New Roman" w:hAnsi="Times New Roman"/>
          <w:color w:val="00548C"/>
          <w:sz w:val="24"/>
          <w:szCs w:val="24"/>
        </w:rPr>
        <w:tab/>
      </w:r>
      <w:r w:rsidR="00131CCB">
        <w:rPr>
          <w:rFonts w:ascii="Times New Roman" w:hAnsi="Times New Roman"/>
          <w:color w:val="00548C"/>
          <w:sz w:val="24"/>
          <w:szCs w:val="24"/>
        </w:rPr>
        <w:tab/>
      </w:r>
      <w:r w:rsidR="00131CCB">
        <w:rPr>
          <w:rFonts w:ascii="Times New Roman" w:hAnsi="Times New Roman"/>
          <w:color w:val="00548C"/>
          <w:sz w:val="24"/>
          <w:szCs w:val="24"/>
        </w:rPr>
        <w:tab/>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057849F2" w14:textId="1090B00D"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Last Review Date:</w:t>
      </w:r>
      <w:r w:rsidR="00D14867">
        <w:rPr>
          <w:rFonts w:ascii="Times New Roman" w:hAnsi="Times New Roman"/>
          <w:color w:val="00548C"/>
          <w:sz w:val="24"/>
          <w:szCs w:val="24"/>
        </w:rPr>
        <w:t xml:space="preserve"> </w:t>
      </w:r>
      <w:r w:rsidR="006B44E9">
        <w:rPr>
          <w:rFonts w:ascii="Times New Roman" w:hAnsi="Times New Roman"/>
          <w:color w:val="00548C"/>
          <w:sz w:val="24"/>
          <w:szCs w:val="24"/>
        </w:rPr>
        <w:t>0</w:t>
      </w:r>
      <w:r w:rsidR="002B6E03">
        <w:rPr>
          <w:rFonts w:ascii="Times New Roman" w:hAnsi="Times New Roman"/>
          <w:color w:val="00548C"/>
          <w:sz w:val="24"/>
          <w:szCs w:val="24"/>
        </w:rPr>
        <w:t>5</w:t>
      </w:r>
      <w:r w:rsidR="006B44E9">
        <w:rPr>
          <w:rFonts w:ascii="Times New Roman" w:hAnsi="Times New Roman"/>
          <w:color w:val="00548C"/>
          <w:sz w:val="24"/>
          <w:szCs w:val="24"/>
        </w:rPr>
        <w:t>/19</w:t>
      </w:r>
    </w:p>
    <w:p w14:paraId="72B96CBA" w14:textId="77777777" w:rsidR="00875924" w:rsidRDefault="005A446F"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4E8D1507"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156C9852"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021C2F0D"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0E45AE1D" w14:textId="77777777" w:rsidR="00583376" w:rsidRPr="00B777AF" w:rsidRDefault="00583376">
      <w:pPr>
        <w:pStyle w:val="Heading2"/>
        <w:rPr>
          <w:u w:val="none"/>
        </w:rPr>
      </w:pPr>
      <w:r w:rsidRPr="00B777AF">
        <w:rPr>
          <w:u w:val="none"/>
        </w:rPr>
        <w:t xml:space="preserve">Description </w:t>
      </w:r>
    </w:p>
    <w:p w14:paraId="22353E58" w14:textId="47B049E2" w:rsidR="00ED0A0D" w:rsidRDefault="00534CD9" w:rsidP="00196935">
      <w:r w:rsidRPr="00534CD9">
        <w:t xml:space="preserve">Microdiscectomy or open discectomy </w:t>
      </w:r>
      <w:r w:rsidR="00B24EDD">
        <w:t xml:space="preserve">(MD/OD) </w:t>
      </w:r>
      <w:r w:rsidRPr="00534CD9">
        <w:t>are the standard procedures for symptomatic lumbar disc herniation and they involve removal of the portion of the intervertebral disc compressing the nerve root or spinal cord (or both) with or without the aid of a headlight loupe or microscope magnification.</w:t>
      </w:r>
      <w:r w:rsidR="0052080A">
        <w:t xml:space="preserve"> </w:t>
      </w:r>
      <w:r w:rsidRPr="00534CD9">
        <w:t xml:space="preserve">Potential advantages of newer minimally invasive discectomy (MID) procedures over standard MD/OD include less blood loss, less postoperative pain, shorter </w:t>
      </w:r>
      <w:r w:rsidR="001C640D" w:rsidRPr="00534CD9">
        <w:t>hospitalization</w:t>
      </w:r>
      <w:r w:rsidRPr="00534CD9">
        <w:t xml:space="preserve"> and earlier return to work</w:t>
      </w:r>
      <w:r w:rsidR="00B24EDD">
        <w:t>.</w:t>
      </w:r>
    </w:p>
    <w:p w14:paraId="6FA57C19" w14:textId="77777777" w:rsidR="005D7B81" w:rsidRPr="00B777AF" w:rsidRDefault="005D7B81" w:rsidP="00196935"/>
    <w:p w14:paraId="3A96CBE2" w14:textId="77777777" w:rsidR="00583376" w:rsidRPr="00B777AF" w:rsidRDefault="00583376">
      <w:pPr>
        <w:pStyle w:val="Heading2"/>
        <w:rPr>
          <w:u w:val="none"/>
        </w:rPr>
      </w:pPr>
      <w:r w:rsidRPr="00B777AF">
        <w:rPr>
          <w:u w:val="none"/>
        </w:rPr>
        <w:t>Policy/Criteria</w:t>
      </w:r>
    </w:p>
    <w:p w14:paraId="34FC3D30" w14:textId="49038B9F" w:rsidR="003F3D44" w:rsidRDefault="00F74762" w:rsidP="00C93EA9">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522E5E">
        <w:t xml:space="preserve">open discectomy and </w:t>
      </w:r>
      <w:r w:rsidR="00461E3C">
        <w:t>microdiscectomy</w:t>
      </w:r>
      <w:r w:rsidR="00C93EA9">
        <w:t xml:space="preserve"> are</w:t>
      </w:r>
      <w:r w:rsidR="00C96847">
        <w:t xml:space="preserve"> </w:t>
      </w:r>
      <w:r w:rsidR="00C96847" w:rsidRPr="005D6347">
        <w:rPr>
          <w:b/>
        </w:rPr>
        <w:t>medically necessary</w:t>
      </w:r>
      <w:r w:rsidR="00C96847">
        <w:t xml:space="preserve"> </w:t>
      </w:r>
      <w:r w:rsidR="00C93EA9">
        <w:t>when meeting all of the following:</w:t>
      </w:r>
    </w:p>
    <w:p w14:paraId="08DF6D0E" w14:textId="4536B185" w:rsidR="001E6E8B" w:rsidRDefault="001E6E8B" w:rsidP="007537A4">
      <w:pPr>
        <w:pStyle w:val="ListParagraph"/>
        <w:numPr>
          <w:ilvl w:val="0"/>
          <w:numId w:val="24"/>
        </w:numPr>
      </w:pPr>
      <w:r>
        <w:t>Age ≥ 18</w:t>
      </w:r>
      <w:r w:rsidR="00C81D6D">
        <w:t xml:space="preserve"> years</w:t>
      </w:r>
      <w:r>
        <w:t>;</w:t>
      </w:r>
    </w:p>
    <w:p w14:paraId="424BF0AB" w14:textId="77777777" w:rsidR="008D6C48" w:rsidRDefault="001E6E8B" w:rsidP="007537A4">
      <w:pPr>
        <w:pStyle w:val="ListParagraph"/>
        <w:numPr>
          <w:ilvl w:val="0"/>
          <w:numId w:val="24"/>
        </w:numPr>
      </w:pPr>
      <w:r>
        <w:t>Diagnosis of herniated lumbar disc</w:t>
      </w:r>
      <w:r w:rsidR="008D6C48">
        <w:t>;</w:t>
      </w:r>
    </w:p>
    <w:p w14:paraId="78BEFBFD" w14:textId="5CC00ABA" w:rsidR="001E6E8B" w:rsidRDefault="008D6C48" w:rsidP="007537A4">
      <w:pPr>
        <w:pStyle w:val="ListParagraph"/>
        <w:numPr>
          <w:ilvl w:val="0"/>
          <w:numId w:val="24"/>
        </w:numPr>
      </w:pPr>
      <w:r>
        <w:t>Nerve root compression confirmed by imaging</w:t>
      </w:r>
      <w:r w:rsidR="00DF749F">
        <w:t xml:space="preserve"> and one of the following:</w:t>
      </w:r>
    </w:p>
    <w:p w14:paraId="4D66085B" w14:textId="19C39E88" w:rsidR="001E6E8B" w:rsidRDefault="001E6E8B" w:rsidP="007537A4">
      <w:pPr>
        <w:pStyle w:val="ListParagraph"/>
        <w:numPr>
          <w:ilvl w:val="1"/>
          <w:numId w:val="25"/>
        </w:numPr>
        <w:ind w:left="1080"/>
      </w:pPr>
      <w:r>
        <w:t>Unilateral radiculopathy with motor deficit</w:t>
      </w:r>
      <w:r w:rsidR="00686BC8">
        <w:t xml:space="preserve"> and one of the following:</w:t>
      </w:r>
    </w:p>
    <w:p w14:paraId="73F08FC1" w14:textId="39376CEA" w:rsidR="001E6E8B" w:rsidRDefault="00686BC8" w:rsidP="007537A4">
      <w:pPr>
        <w:pStyle w:val="ListParagraph"/>
        <w:numPr>
          <w:ilvl w:val="0"/>
          <w:numId w:val="27"/>
        </w:numPr>
      </w:pPr>
      <w:r>
        <w:t>Severe weakness in a nerve root distribution, as evidenced by</w:t>
      </w:r>
      <w:r w:rsidR="00701F61">
        <w:t>:</w:t>
      </w:r>
      <w:r>
        <w:t xml:space="preserve"> a score of </w:t>
      </w:r>
      <w:r w:rsidR="00A861E9">
        <w:t xml:space="preserve">&lt;3 </w:t>
      </w:r>
      <w:r>
        <w:t>on the Medical Research Council 0 to 5 muscle strength scale, or the inability to ambulate;</w:t>
      </w:r>
    </w:p>
    <w:p w14:paraId="0C805FBC" w14:textId="77777777" w:rsidR="00534CD9" w:rsidRDefault="00686BC8" w:rsidP="007537A4">
      <w:pPr>
        <w:pStyle w:val="ListParagraph"/>
        <w:numPr>
          <w:ilvl w:val="0"/>
          <w:numId w:val="27"/>
        </w:numPr>
      </w:pPr>
      <w:r>
        <w:t>Mild to moderate weakness in a nerve root distribution</w:t>
      </w:r>
      <w:r w:rsidR="00860DD7">
        <w:t xml:space="preserve">, as evidenced by a score of 3 or 4 on the Medical Research Council 0 to 5 muscle strength scale and </w:t>
      </w:r>
      <w:r w:rsidR="00534CD9">
        <w:t>one of the following:</w:t>
      </w:r>
    </w:p>
    <w:p w14:paraId="04FF2118" w14:textId="4AA54DBA" w:rsidR="00534CD9" w:rsidRDefault="00534CD9" w:rsidP="007537A4">
      <w:pPr>
        <w:pStyle w:val="ListParagraph"/>
        <w:numPr>
          <w:ilvl w:val="1"/>
          <w:numId w:val="30"/>
        </w:numPr>
        <w:ind w:left="1800"/>
      </w:pPr>
      <w:r>
        <w:t>Worsening weakness or motor deficit;</w:t>
      </w:r>
    </w:p>
    <w:p w14:paraId="56D5180A" w14:textId="3EEF0971" w:rsidR="00686BC8" w:rsidRDefault="00534CD9" w:rsidP="007537A4">
      <w:pPr>
        <w:pStyle w:val="ListParagraph"/>
        <w:numPr>
          <w:ilvl w:val="1"/>
          <w:numId w:val="30"/>
        </w:numPr>
        <w:ind w:left="1800"/>
      </w:pPr>
      <w:r>
        <w:t>P</w:t>
      </w:r>
      <w:r w:rsidR="00860DD7">
        <w:t>atient has failed to respond to conservative therapy including all of the following:</w:t>
      </w:r>
    </w:p>
    <w:p w14:paraId="167E058C" w14:textId="08B9EFD1" w:rsidR="00860DD7" w:rsidRDefault="00860DD7" w:rsidP="007537A4">
      <w:pPr>
        <w:pStyle w:val="ListParagraph"/>
        <w:numPr>
          <w:ilvl w:val="0"/>
          <w:numId w:val="31"/>
        </w:numPr>
      </w:pPr>
      <w:r w:rsidRPr="00860DD7">
        <w:t>≥ 6 weeks physical therapy or prescribed home exercise program</w:t>
      </w:r>
      <w:r>
        <w:t>;</w:t>
      </w:r>
    </w:p>
    <w:p w14:paraId="7D269466" w14:textId="6BF4C850" w:rsidR="00860DD7" w:rsidRDefault="00D22C13" w:rsidP="007537A4">
      <w:pPr>
        <w:pStyle w:val="ListParagraph"/>
        <w:numPr>
          <w:ilvl w:val="0"/>
          <w:numId w:val="31"/>
        </w:numPr>
      </w:pPr>
      <w:r>
        <w:t xml:space="preserve">Nonsteroidal anti-inflammatory drug (NSAID) </w:t>
      </w:r>
      <w:r w:rsidR="00534CD9">
        <w:t xml:space="preserve">or acetaminophen </w:t>
      </w:r>
      <w:r w:rsidR="00860DD7" w:rsidRPr="00860DD7">
        <w:t xml:space="preserve">≥ 3 weeks </w:t>
      </w:r>
      <w:r w:rsidR="00534CD9">
        <w:t>unless</w:t>
      </w:r>
      <w:r w:rsidR="00860DD7" w:rsidRPr="00860DD7">
        <w:t xml:space="preserve"> contraindicated or not tolerated</w:t>
      </w:r>
      <w:r w:rsidR="00860DD7">
        <w:t>;</w:t>
      </w:r>
    </w:p>
    <w:p w14:paraId="67F72BD6" w14:textId="54E33268" w:rsidR="00860DD7" w:rsidRDefault="00860DD7" w:rsidP="007537A4">
      <w:pPr>
        <w:pStyle w:val="ListParagraph"/>
        <w:numPr>
          <w:ilvl w:val="0"/>
          <w:numId w:val="31"/>
        </w:numPr>
      </w:pPr>
      <w:r w:rsidRPr="00860DD7">
        <w:t>≥ 6 weeks activity modification</w:t>
      </w:r>
      <w:r>
        <w:t>;</w:t>
      </w:r>
    </w:p>
    <w:p w14:paraId="3DB2AC37" w14:textId="6134D452" w:rsidR="008D6C48" w:rsidRDefault="00DF749F" w:rsidP="007537A4">
      <w:pPr>
        <w:pStyle w:val="ListParagraph"/>
        <w:numPr>
          <w:ilvl w:val="0"/>
          <w:numId w:val="25"/>
        </w:numPr>
        <w:ind w:left="1080"/>
      </w:pPr>
      <w:r>
        <w:t>Unilateral radiculopathy with sensory deficit as evidenced by pain, parasthesias or numbne</w:t>
      </w:r>
      <w:r w:rsidR="008D6C48">
        <w:t>ss in a nerve root distribution and patient has failed to respond to conservative therapy including all of the following:</w:t>
      </w:r>
    </w:p>
    <w:p w14:paraId="0A85971F" w14:textId="6031D8A0" w:rsidR="008D6C48" w:rsidRDefault="008D6C48" w:rsidP="007537A4">
      <w:pPr>
        <w:pStyle w:val="ListParagraph"/>
        <w:numPr>
          <w:ilvl w:val="0"/>
          <w:numId w:val="29"/>
        </w:numPr>
        <w:ind w:left="1440"/>
      </w:pPr>
      <w:r w:rsidRPr="00860DD7">
        <w:t>≥ 6 weeks physical therapy or prescribed home exercise program</w:t>
      </w:r>
      <w:r>
        <w:t>;</w:t>
      </w:r>
    </w:p>
    <w:p w14:paraId="42032B45" w14:textId="7C9FECFE" w:rsidR="008D6C48" w:rsidRPr="00701F61" w:rsidRDefault="008D6C48" w:rsidP="007537A4">
      <w:pPr>
        <w:pStyle w:val="ListParagraph"/>
        <w:numPr>
          <w:ilvl w:val="0"/>
          <w:numId w:val="29"/>
        </w:numPr>
        <w:ind w:left="1440"/>
      </w:pPr>
      <w:r w:rsidRPr="00701F61">
        <w:t xml:space="preserve">NSAID </w:t>
      </w:r>
      <w:r w:rsidR="00534CD9">
        <w:t xml:space="preserve">or acetaminophen </w:t>
      </w:r>
      <w:r w:rsidRPr="00701F61">
        <w:t xml:space="preserve">≥ 3 weeks </w:t>
      </w:r>
      <w:r w:rsidR="00534CD9">
        <w:t>unless</w:t>
      </w:r>
      <w:r w:rsidRPr="00701F61">
        <w:t xml:space="preserve"> contraindicated or not tolerated;</w:t>
      </w:r>
    </w:p>
    <w:p w14:paraId="0E9FD9F3" w14:textId="426FD333" w:rsidR="008D6C48" w:rsidRDefault="008D6C48" w:rsidP="007537A4">
      <w:pPr>
        <w:pStyle w:val="ListParagraph"/>
        <w:numPr>
          <w:ilvl w:val="0"/>
          <w:numId w:val="29"/>
        </w:numPr>
        <w:ind w:left="1440"/>
      </w:pPr>
      <w:r w:rsidRPr="00860DD7">
        <w:t>≥ 6 weeks activity modification</w:t>
      </w:r>
      <w:r w:rsidR="00701F61">
        <w:t>.</w:t>
      </w:r>
    </w:p>
    <w:p w14:paraId="5A1C88EF" w14:textId="77777777" w:rsidR="00C96847" w:rsidRDefault="00C96847" w:rsidP="007537A4"/>
    <w:p w14:paraId="56F9C6DF" w14:textId="2810355E" w:rsidR="009A6B05" w:rsidRPr="00391F89" w:rsidRDefault="009A6B05" w:rsidP="00391F89">
      <w:pPr>
        <w:numPr>
          <w:ilvl w:val="0"/>
          <w:numId w:val="11"/>
        </w:numPr>
        <w:ind w:left="360"/>
      </w:pPr>
      <w:r w:rsidRPr="00391F89">
        <w:rPr>
          <w:bCs/>
          <w:color w:val="000000"/>
        </w:rPr>
        <w:t xml:space="preserve">It is the policy of health plans affiliated with Centene Corporation </w:t>
      </w:r>
      <w:r w:rsidRPr="00391F89">
        <w:t xml:space="preserve">that the following </w:t>
      </w:r>
      <w:r w:rsidR="00E64B9A">
        <w:t>minimally invasive procedures for spinal decompression</w:t>
      </w:r>
      <w:r w:rsidRPr="00391F89">
        <w:t xml:space="preserve"> are </w:t>
      </w:r>
      <w:r w:rsidRPr="00534CD9">
        <w:rPr>
          <w:b/>
        </w:rPr>
        <w:t>investigational</w:t>
      </w:r>
      <w:r w:rsidRPr="00391F89">
        <w:t>:</w:t>
      </w:r>
    </w:p>
    <w:p w14:paraId="5F6C20E5" w14:textId="7F76C6C9" w:rsidR="00391F89" w:rsidRPr="00CD6388" w:rsidRDefault="00391F89" w:rsidP="00391F89">
      <w:pPr>
        <w:pStyle w:val="Default"/>
        <w:numPr>
          <w:ilvl w:val="1"/>
          <w:numId w:val="11"/>
        </w:numPr>
        <w:spacing w:after="21"/>
        <w:ind w:left="720"/>
        <w:rPr>
          <w:rFonts w:ascii="Times New Roman" w:hAnsi="Times New Roman" w:cs="Times New Roman"/>
        </w:rPr>
      </w:pPr>
      <w:r w:rsidRPr="00CD6388">
        <w:rPr>
          <w:rFonts w:ascii="Times New Roman" w:hAnsi="Times New Roman" w:cs="Times New Roman"/>
        </w:rPr>
        <w:t>Percutaneous Lumbar Discecto</w:t>
      </w:r>
      <w:r w:rsidR="00D22C13" w:rsidRPr="00CD6388">
        <w:rPr>
          <w:rFonts w:ascii="Times New Roman" w:hAnsi="Times New Roman" w:cs="Times New Roman"/>
        </w:rPr>
        <w:t xml:space="preserve">my </w:t>
      </w:r>
      <w:r w:rsidR="00A82EA0" w:rsidRPr="00CD6388">
        <w:rPr>
          <w:rFonts w:ascii="Times New Roman" w:hAnsi="Times New Roman" w:cs="Times New Roman"/>
        </w:rPr>
        <w:t>(manual or automated [APLD]</w:t>
      </w:r>
      <w:r w:rsidR="00A82EA0">
        <w:rPr>
          <w:rFonts w:ascii="Times New Roman" w:hAnsi="Times New Roman" w:cs="Times New Roman"/>
        </w:rPr>
        <w:t xml:space="preserve"> and/or MILD</w:t>
      </w:r>
      <w:r w:rsidR="00A82EA0" w:rsidRPr="00CD6388">
        <w:rPr>
          <w:rFonts w:ascii="Times New Roman" w:hAnsi="Times New Roman" w:cs="Times New Roman"/>
        </w:rPr>
        <w:t>)</w:t>
      </w:r>
      <w:r w:rsidR="00D22C13" w:rsidRPr="00CD6388">
        <w:rPr>
          <w:rFonts w:ascii="Times New Roman" w:hAnsi="Times New Roman" w:cs="Times New Roman"/>
        </w:rPr>
        <w:t>;</w:t>
      </w:r>
    </w:p>
    <w:p w14:paraId="5236DC90" w14:textId="54515E8C" w:rsidR="00391F89" w:rsidRPr="00CD6388" w:rsidRDefault="00391F89" w:rsidP="00391F89">
      <w:pPr>
        <w:pStyle w:val="Default"/>
        <w:numPr>
          <w:ilvl w:val="1"/>
          <w:numId w:val="11"/>
        </w:numPr>
        <w:spacing w:after="21"/>
        <w:ind w:left="720"/>
        <w:rPr>
          <w:rFonts w:ascii="Times New Roman" w:hAnsi="Times New Roman" w:cs="Times New Roman"/>
        </w:rPr>
      </w:pPr>
      <w:r w:rsidRPr="00CD6388">
        <w:rPr>
          <w:rFonts w:ascii="Times New Roman" w:hAnsi="Times New Roman" w:cs="Times New Roman"/>
        </w:rPr>
        <w:t>Perc</w:t>
      </w:r>
      <w:r w:rsidR="00D22C13" w:rsidRPr="00CD6388">
        <w:rPr>
          <w:rFonts w:ascii="Times New Roman" w:hAnsi="Times New Roman" w:cs="Times New Roman"/>
        </w:rPr>
        <w:t>utaneous Laser Discectomy (PLD);</w:t>
      </w:r>
    </w:p>
    <w:p w14:paraId="1DB86551" w14:textId="4F92AC23" w:rsidR="00391F89" w:rsidRPr="00CD6388" w:rsidRDefault="00391F89" w:rsidP="00391F89">
      <w:pPr>
        <w:pStyle w:val="Default"/>
        <w:numPr>
          <w:ilvl w:val="1"/>
          <w:numId w:val="11"/>
        </w:numPr>
        <w:spacing w:after="21"/>
        <w:ind w:left="720"/>
        <w:rPr>
          <w:rFonts w:ascii="Times New Roman" w:hAnsi="Times New Roman" w:cs="Times New Roman"/>
        </w:rPr>
      </w:pPr>
      <w:r w:rsidRPr="00CD6388">
        <w:rPr>
          <w:rFonts w:ascii="Times New Roman" w:hAnsi="Times New Roman" w:cs="Times New Roman"/>
        </w:rPr>
        <w:t>Laser-ass</w:t>
      </w:r>
      <w:r w:rsidR="00D22C13" w:rsidRPr="00CD6388">
        <w:rPr>
          <w:rFonts w:ascii="Times New Roman" w:hAnsi="Times New Roman" w:cs="Times New Roman"/>
        </w:rPr>
        <w:t>isted Disc Decompression (LADD);</w:t>
      </w:r>
    </w:p>
    <w:p w14:paraId="4613A892" w14:textId="1C3CF3E9" w:rsidR="00391F89" w:rsidRPr="00CD6388" w:rsidRDefault="00391F89" w:rsidP="00391F89">
      <w:pPr>
        <w:pStyle w:val="Default"/>
        <w:numPr>
          <w:ilvl w:val="1"/>
          <w:numId w:val="11"/>
        </w:numPr>
        <w:spacing w:after="21"/>
        <w:ind w:left="720"/>
        <w:rPr>
          <w:rFonts w:ascii="Times New Roman" w:hAnsi="Times New Roman" w:cs="Times New Roman"/>
        </w:rPr>
      </w:pPr>
      <w:r w:rsidRPr="00CD6388">
        <w:rPr>
          <w:rFonts w:ascii="Times New Roman" w:hAnsi="Times New Roman" w:cs="Times New Roman"/>
        </w:rPr>
        <w:lastRenderedPageBreak/>
        <w:t xml:space="preserve">Percutaneous </w:t>
      </w:r>
      <w:r w:rsidR="00D22C13" w:rsidRPr="00CD6388">
        <w:rPr>
          <w:rFonts w:ascii="Times New Roman" w:hAnsi="Times New Roman" w:cs="Times New Roman"/>
        </w:rPr>
        <w:t>laser disc decompression (PLDD);</w:t>
      </w:r>
    </w:p>
    <w:p w14:paraId="7EC52492" w14:textId="51404706" w:rsidR="00391F89" w:rsidRPr="00CD6388" w:rsidRDefault="00D22C13" w:rsidP="00391F89">
      <w:pPr>
        <w:pStyle w:val="Default"/>
        <w:numPr>
          <w:ilvl w:val="1"/>
          <w:numId w:val="11"/>
        </w:numPr>
        <w:spacing w:after="21"/>
        <w:ind w:left="720"/>
        <w:rPr>
          <w:rFonts w:ascii="Times New Roman" w:hAnsi="Times New Roman" w:cs="Times New Roman"/>
        </w:rPr>
      </w:pPr>
      <w:r w:rsidRPr="00CD6388">
        <w:rPr>
          <w:rFonts w:ascii="Times New Roman" w:hAnsi="Times New Roman" w:cs="Times New Roman"/>
        </w:rPr>
        <w:t>Percutaneous nuclectomy;</w:t>
      </w:r>
    </w:p>
    <w:p w14:paraId="6C18F397" w14:textId="5FA1849D" w:rsidR="00391F89" w:rsidRPr="00CD6388" w:rsidRDefault="00391F89" w:rsidP="00391F89">
      <w:pPr>
        <w:pStyle w:val="Default"/>
        <w:numPr>
          <w:ilvl w:val="1"/>
          <w:numId w:val="11"/>
        </w:numPr>
        <w:spacing w:after="21"/>
        <w:ind w:left="720"/>
        <w:rPr>
          <w:rFonts w:ascii="Times New Roman" w:hAnsi="Times New Roman" w:cs="Times New Roman"/>
        </w:rPr>
      </w:pPr>
      <w:r w:rsidRPr="00CD6388">
        <w:rPr>
          <w:rFonts w:ascii="Times New Roman" w:hAnsi="Times New Roman" w:cs="Times New Roman"/>
        </w:rPr>
        <w:t>Percutaneous en</w:t>
      </w:r>
      <w:r w:rsidR="00D22C13" w:rsidRPr="00CD6388">
        <w:rPr>
          <w:rFonts w:ascii="Times New Roman" w:hAnsi="Times New Roman" w:cs="Times New Roman"/>
        </w:rPr>
        <w:t>doscopic discectomy;</w:t>
      </w:r>
    </w:p>
    <w:p w14:paraId="1445E01E" w14:textId="578FC1B1" w:rsidR="00391F89" w:rsidRPr="00CD6388" w:rsidRDefault="00391F89" w:rsidP="00391F89">
      <w:pPr>
        <w:pStyle w:val="Default"/>
        <w:numPr>
          <w:ilvl w:val="1"/>
          <w:numId w:val="11"/>
        </w:numPr>
        <w:spacing w:after="21"/>
        <w:ind w:left="720"/>
        <w:rPr>
          <w:rFonts w:ascii="Times New Roman" w:hAnsi="Times New Roman" w:cs="Times New Roman"/>
        </w:rPr>
      </w:pPr>
      <w:r w:rsidRPr="00CD6388">
        <w:rPr>
          <w:rFonts w:ascii="Times New Roman" w:hAnsi="Times New Roman" w:cs="Times New Roman"/>
        </w:rPr>
        <w:t xml:space="preserve">Endoscopic laser </w:t>
      </w:r>
      <w:r w:rsidR="00D22C13" w:rsidRPr="00CD6388">
        <w:rPr>
          <w:rFonts w:ascii="Times New Roman" w:hAnsi="Times New Roman" w:cs="Times New Roman"/>
        </w:rPr>
        <w:t>percutaneous dis</w:t>
      </w:r>
      <w:r w:rsidR="001C640D" w:rsidRPr="00CD6388">
        <w:rPr>
          <w:rFonts w:ascii="Times New Roman" w:hAnsi="Times New Roman" w:cs="Times New Roman"/>
        </w:rPr>
        <w:t>c</w:t>
      </w:r>
      <w:r w:rsidR="00D22C13" w:rsidRPr="00CD6388">
        <w:rPr>
          <w:rFonts w:ascii="Times New Roman" w:hAnsi="Times New Roman" w:cs="Times New Roman"/>
        </w:rPr>
        <w:t>ectomy or LASE;</w:t>
      </w:r>
    </w:p>
    <w:p w14:paraId="57B3A6E7" w14:textId="476F7859" w:rsidR="00391F89" w:rsidRPr="00CD6388" w:rsidRDefault="00391F89" w:rsidP="00391F89">
      <w:pPr>
        <w:pStyle w:val="Default"/>
        <w:numPr>
          <w:ilvl w:val="1"/>
          <w:numId w:val="11"/>
        </w:numPr>
        <w:spacing w:after="21"/>
        <w:ind w:left="720"/>
        <w:rPr>
          <w:rFonts w:ascii="Times New Roman" w:hAnsi="Times New Roman" w:cs="Times New Roman"/>
        </w:rPr>
      </w:pPr>
      <w:r w:rsidRPr="00CD6388">
        <w:rPr>
          <w:rFonts w:ascii="Times New Roman" w:hAnsi="Times New Roman" w:cs="Times New Roman"/>
        </w:rPr>
        <w:t>Endoscopic Spinal Surgery System</w:t>
      </w:r>
      <w:r w:rsidR="00D22C13" w:rsidRPr="00CD6388">
        <w:rPr>
          <w:rFonts w:ascii="Times New Roman" w:hAnsi="Times New Roman" w:cs="Times New Roman"/>
        </w:rPr>
        <w:t>.</w:t>
      </w:r>
    </w:p>
    <w:p w14:paraId="47418B4D" w14:textId="77777777" w:rsidR="00FB139B" w:rsidRDefault="00FB139B" w:rsidP="003840CC">
      <w:pPr>
        <w:rPr>
          <w:bCs/>
          <w:color w:val="000000"/>
        </w:rPr>
      </w:pPr>
    </w:p>
    <w:p w14:paraId="3889F399" w14:textId="77777777" w:rsidR="00FB0592" w:rsidRDefault="00FB0592" w:rsidP="00FB0592">
      <w:pPr>
        <w:pStyle w:val="Heading2"/>
        <w:rPr>
          <w:u w:val="none"/>
        </w:rPr>
      </w:pPr>
      <w:r w:rsidRPr="00B777AF">
        <w:rPr>
          <w:u w:val="none"/>
        </w:rPr>
        <w:t>Background</w:t>
      </w:r>
    </w:p>
    <w:p w14:paraId="6D90875A" w14:textId="49642027" w:rsidR="009D5A9C" w:rsidRDefault="009D5A9C" w:rsidP="009D5A9C">
      <w:r>
        <w:t>A variety of discectomy techniques are available</w:t>
      </w:r>
      <w:r w:rsidR="00B24EDD">
        <w:rPr>
          <w:vertAlign w:val="superscript"/>
        </w:rPr>
        <w:t>1</w:t>
      </w:r>
      <w:r>
        <w:t>:</w:t>
      </w:r>
    </w:p>
    <w:p w14:paraId="5F19E902" w14:textId="414A165A" w:rsidR="009D5A9C" w:rsidRDefault="009D5A9C" w:rsidP="009D5A9C">
      <w:pPr>
        <w:pStyle w:val="ListParagraph"/>
        <w:numPr>
          <w:ilvl w:val="0"/>
          <w:numId w:val="23"/>
        </w:numPr>
      </w:pPr>
      <w:r>
        <w:t xml:space="preserve">The traditional </w:t>
      </w:r>
      <w:r w:rsidR="00B24EDD">
        <w:t>OD</w:t>
      </w:r>
      <w:r>
        <w:t xml:space="preserve"> is performed with a standard surgical incision, often with the aid of eyepiece (loupe) magnification. </w:t>
      </w:r>
      <w:r w:rsidR="0052080A">
        <w:t xml:space="preserve"> </w:t>
      </w:r>
      <w:r>
        <w:t>It frequently involves a laminectomy (removal of the vertebral lamina to relieve pressure on nerve roots).</w:t>
      </w:r>
    </w:p>
    <w:p w14:paraId="29C1062F" w14:textId="26C22943" w:rsidR="009F36D9" w:rsidRDefault="009F36D9" w:rsidP="009D5A9C">
      <w:pPr>
        <w:pStyle w:val="ListParagraph"/>
        <w:numPr>
          <w:ilvl w:val="0"/>
          <w:numId w:val="23"/>
        </w:numPr>
      </w:pPr>
      <w:r>
        <w:t>MD is a refinement of open discectomy and involves a smaller incision in the back, with visualization through an operating microscope; this may include a laminotomy or hemilaminectomy in order to adequately visualize the disc, followed by removal of the disc fragment</w:t>
      </w:r>
      <w:r>
        <w:rPr>
          <w:color w:val="FF0000"/>
        </w:rPr>
        <w:t xml:space="preserve"> </w:t>
      </w:r>
      <w:r>
        <w:t>compressing the affected nerve or nerves.</w:t>
      </w:r>
    </w:p>
    <w:p w14:paraId="0B063082" w14:textId="4E419991" w:rsidR="009D5A9C" w:rsidRDefault="00B24EDD" w:rsidP="0052080A">
      <w:pPr>
        <w:pStyle w:val="ListParagraph"/>
        <w:numPr>
          <w:ilvl w:val="0"/>
          <w:numId w:val="23"/>
        </w:numPr>
        <w:ind w:right="-90"/>
      </w:pPr>
      <w:r>
        <w:t>MID</w:t>
      </w:r>
      <w:r w:rsidR="00435FFA">
        <w:t xml:space="preserve"> </w:t>
      </w:r>
      <w:r w:rsidR="009D5A9C">
        <w:t>techniques include percutaneous manual nucleotomy, automated percutaneous lumbar discectomy, laser discectomy, endoscopic discectomy, microendoscopic discectomy, coblation nucleoplasty, and the disc DeKompressor.</w:t>
      </w:r>
      <w:r w:rsidR="0052080A">
        <w:t xml:space="preserve"> </w:t>
      </w:r>
      <w:r w:rsidR="009D5A9C">
        <w:t xml:space="preserve"> Tubular or trochar discectomy is a less invasive technique in which a tubular retractor is inserted over a guidewire, gaining access to the disc by muscle splitting rather than muscle incision and detachment.</w:t>
      </w:r>
    </w:p>
    <w:p w14:paraId="5CDB8BD6" w14:textId="77777777" w:rsidR="009D5A9C" w:rsidRDefault="009D5A9C" w:rsidP="009D5A9C"/>
    <w:p w14:paraId="06266778" w14:textId="510F4661" w:rsidR="0052080A" w:rsidRDefault="00435FFA" w:rsidP="009D5A9C">
      <w:r>
        <w:t>MID procedures</w:t>
      </w:r>
      <w:r w:rsidR="009D5A9C">
        <w:t xml:space="preserve"> involve smaller incisions and surgery with the aid of indirect visualization; some techniques employ lasers to vaporize parts of the disc or automated techniques for removing portions of the disc.</w:t>
      </w:r>
      <w:r w:rsidR="00701C5E">
        <w:t xml:space="preserve">  They have the potential </w:t>
      </w:r>
      <w:r w:rsidR="0052080A">
        <w:t>advantage of quicker recovery</w:t>
      </w:r>
      <w:r w:rsidR="00701C5E">
        <w:t xml:space="preserve"> from</w:t>
      </w:r>
    </w:p>
    <w:p w14:paraId="17449E63" w14:textId="79482DDA" w:rsidR="009D5A9C" w:rsidRDefault="009D5A9C" w:rsidP="009D5A9C">
      <w:r>
        <w:t xml:space="preserve">surgery compared to standard </w:t>
      </w:r>
      <w:r w:rsidR="00B24EDD">
        <w:t>OD or MD</w:t>
      </w:r>
      <w:r>
        <w:t>.</w:t>
      </w:r>
    </w:p>
    <w:p w14:paraId="4097096D" w14:textId="41089ED5" w:rsidR="009D5A9C" w:rsidRDefault="009D5A9C" w:rsidP="009D5A9C"/>
    <w:p w14:paraId="0749E5D0" w14:textId="77777777" w:rsidR="0052080A" w:rsidRDefault="00435FFA" w:rsidP="009D5A9C">
      <w:pPr>
        <w:rPr>
          <w:vertAlign w:val="superscript"/>
        </w:rPr>
      </w:pPr>
      <w:r>
        <w:t xml:space="preserve">A systematic review of MID versus </w:t>
      </w:r>
      <w:r w:rsidR="00B24EDD">
        <w:t>MD/OD</w:t>
      </w:r>
      <w:r>
        <w:t xml:space="preserve"> for symptomatic lumbar disc herniation found MID may be inferior in terms of relief of leg pain, low back pain and re-hospitalization</w:t>
      </w:r>
      <w:r w:rsidR="0059028D">
        <w:t>.</w:t>
      </w:r>
      <w:r w:rsidR="00B24EDD">
        <w:rPr>
          <w:vertAlign w:val="superscript"/>
        </w:rPr>
        <w:t>2</w:t>
      </w:r>
      <w:r w:rsidR="0059028D">
        <w:rPr>
          <w:vertAlign w:val="superscript"/>
        </w:rPr>
        <w:t xml:space="preserve"> </w:t>
      </w:r>
    </w:p>
    <w:p w14:paraId="6DDB76B2" w14:textId="3DC69B8B" w:rsidR="00435FFA" w:rsidRPr="00B24EDD" w:rsidRDefault="00435FFA" w:rsidP="009D5A9C">
      <w:pPr>
        <w:rPr>
          <w:vertAlign w:val="superscript"/>
        </w:rPr>
      </w:pPr>
      <w:r>
        <w:t>Additionally, MID may be associated with lower risk of infection and shorter hospital stay, but more research is need</w:t>
      </w:r>
      <w:r w:rsidR="00B24EDD">
        <w:t>ed due to inconsistent evidence.</w:t>
      </w:r>
      <w:r w:rsidR="00B24EDD">
        <w:rPr>
          <w:vertAlign w:val="superscript"/>
        </w:rPr>
        <w:t>2</w:t>
      </w:r>
    </w:p>
    <w:p w14:paraId="3E7CF06A" w14:textId="77777777" w:rsidR="009D5A9C" w:rsidRDefault="009D5A9C" w:rsidP="009D5A9C"/>
    <w:p w14:paraId="5F93D1BE" w14:textId="611406F2" w:rsidR="00435FFA" w:rsidRDefault="00790838" w:rsidP="009D5A9C">
      <w:r>
        <w:t>Evaniew and colleagues came to a similar conclusion in their 2014 systematic review of MID versus open surgery for cervical and lumbar discectomy.</w:t>
      </w:r>
      <w:r w:rsidR="0052080A">
        <w:t xml:space="preserve">  </w:t>
      </w:r>
      <w:r>
        <w:t xml:space="preserve">They </w:t>
      </w:r>
      <w:r w:rsidR="00927A57">
        <w:t>state that moderate-quality evidence suggests no advantage of MID in short- and long-term function, and low-quality evidence shows no advantage in short-and long-term pain.</w:t>
      </w:r>
      <w:r w:rsidR="00B24EDD">
        <w:rPr>
          <w:vertAlign w:val="superscript"/>
        </w:rPr>
        <w:t>3</w:t>
      </w:r>
      <w:r w:rsidR="00701C5E">
        <w:rPr>
          <w:vertAlign w:val="superscript"/>
        </w:rPr>
        <w:t xml:space="preserve"> </w:t>
      </w:r>
      <w:r w:rsidR="00927A57">
        <w:t xml:space="preserve"> </w:t>
      </w:r>
      <w:r w:rsidR="0080352E">
        <w:t>At this time the risks due to the more technically complicated MID and potential for inadequate decompression render more conventional spinal decompression procedures the preferred choice.</w:t>
      </w:r>
    </w:p>
    <w:p w14:paraId="44E2500C" w14:textId="77777777" w:rsidR="00435FFA" w:rsidRPr="009D5A9C" w:rsidRDefault="00435FFA" w:rsidP="009D5A9C"/>
    <w:p w14:paraId="1215F95B" w14:textId="1C4B7E43" w:rsidR="009366BA" w:rsidRPr="009366BA" w:rsidRDefault="0080352E" w:rsidP="009366BA">
      <w:pPr>
        <w:rPr>
          <w:bCs/>
        </w:rPr>
      </w:pPr>
      <w:r>
        <w:t xml:space="preserve">Chou echoes the findings of the systematic reviews, stating that </w:t>
      </w:r>
      <w:r w:rsidR="009167D7">
        <w:t xml:space="preserve">definitive evidence of advantages of MID techniques is needed before adopting them over </w:t>
      </w:r>
      <w:r w:rsidR="00B24EDD">
        <w:t>OD or MD.</w:t>
      </w:r>
      <w:r w:rsidR="00B24EDD">
        <w:rPr>
          <w:vertAlign w:val="superscript"/>
        </w:rPr>
        <w:t>1</w:t>
      </w:r>
    </w:p>
    <w:p w14:paraId="71D09B6B" w14:textId="77777777" w:rsidR="009D7C5A" w:rsidRDefault="009D7C5A">
      <w:pPr>
        <w:rPr>
          <w:bCs/>
          <w:i/>
        </w:rPr>
      </w:pPr>
    </w:p>
    <w:p w14:paraId="47B1C866" w14:textId="57E32D79" w:rsidR="009366BA" w:rsidRPr="0042692D" w:rsidRDefault="009366BA">
      <w:pPr>
        <w:rPr>
          <w:bCs/>
          <w:i/>
        </w:rPr>
      </w:pPr>
      <w:r w:rsidRPr="0042692D">
        <w:rPr>
          <w:bCs/>
          <w:i/>
        </w:rPr>
        <w:t>The National Institute for Health and Clinical Excellence</w:t>
      </w:r>
      <w:r w:rsidR="00560030">
        <w:rPr>
          <w:bCs/>
          <w:i/>
        </w:rPr>
        <w:t xml:space="preserve"> (NICE)</w:t>
      </w:r>
    </w:p>
    <w:p w14:paraId="0A61CE7E" w14:textId="35D9BE5A" w:rsidR="009366BA" w:rsidRPr="0042692D" w:rsidRDefault="009366BA" w:rsidP="00701C5E">
      <w:pPr>
        <w:tabs>
          <w:tab w:val="left" w:pos="0"/>
        </w:tabs>
        <w:rPr>
          <w:bCs/>
        </w:rPr>
      </w:pPr>
      <w:r w:rsidRPr="0042692D">
        <w:rPr>
          <w:bCs/>
        </w:rPr>
        <w:t>Current evidence suggests that there are no major safety concerns associated with automated percutaneous mechanical lumbar discectomy.</w:t>
      </w:r>
      <w:r w:rsidR="00701C5E">
        <w:rPr>
          <w:bCs/>
        </w:rPr>
        <w:t xml:space="preserve"> </w:t>
      </w:r>
      <w:r w:rsidRPr="0042692D">
        <w:rPr>
          <w:bCs/>
        </w:rPr>
        <w:t xml:space="preserve"> There is limited evidence of efficacy based on uncontrolled case series of heterogeneous groups of patients, but evidence from small </w:t>
      </w:r>
      <w:r w:rsidR="00EC7B9A">
        <w:rPr>
          <w:bCs/>
        </w:rPr>
        <w:lastRenderedPageBreak/>
        <w:t>randomiz</w:t>
      </w:r>
      <w:r w:rsidRPr="0042692D">
        <w:rPr>
          <w:bCs/>
        </w:rPr>
        <w:t xml:space="preserve">ed controlled trials shows conflicting results. </w:t>
      </w:r>
      <w:r w:rsidR="00701C5E">
        <w:rPr>
          <w:bCs/>
        </w:rPr>
        <w:t xml:space="preserve"> </w:t>
      </w:r>
      <w:r w:rsidRPr="0042692D">
        <w:rPr>
          <w:bCs/>
        </w:rPr>
        <w:t>In view of the uncertainties about the efficacy of the procedure, it should not be used without special arrangements for consent and for audit or research</w:t>
      </w:r>
    </w:p>
    <w:p w14:paraId="77CF2D7C" w14:textId="77777777" w:rsidR="009366BA" w:rsidRPr="000465DE" w:rsidRDefault="009366BA">
      <w:pPr>
        <w:rPr>
          <w:b/>
          <w:bCs/>
        </w:rPr>
      </w:pPr>
    </w:p>
    <w:p w14:paraId="51E49D2A" w14:textId="77777777" w:rsidR="00170B14" w:rsidRPr="00B777AF" w:rsidRDefault="00170B14" w:rsidP="00170B14">
      <w:pPr>
        <w:rPr>
          <w:b/>
        </w:rPr>
      </w:pPr>
      <w:bookmarkStart w:id="1" w:name="Coding_Implications"/>
      <w:r w:rsidRPr="00B777AF">
        <w:rPr>
          <w:b/>
        </w:rPr>
        <w:t>Coding Implications</w:t>
      </w:r>
    </w:p>
    <w:bookmarkEnd w:id="1"/>
    <w:p w14:paraId="4A6E3A9C" w14:textId="41423F1D"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w:t>
      </w:r>
      <w:r w:rsidR="0059126A" w:rsidRPr="00507DC0">
        <w:t>201</w:t>
      </w:r>
      <w:r w:rsidR="0059126A">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2354D313" w14:textId="77777777" w:rsidR="00D04534" w:rsidRDefault="00D04534" w:rsidP="00AF5490"/>
    <w:p w14:paraId="01CB5129" w14:textId="4A381316" w:rsidR="00AF5490" w:rsidRPr="00D04534" w:rsidRDefault="00D04534" w:rsidP="00AF5490">
      <w:pPr>
        <w:rPr>
          <w:b/>
        </w:rPr>
      </w:pPr>
      <w:r w:rsidRPr="00D04534">
        <w:rPr>
          <w:b/>
        </w:rPr>
        <w:t xml:space="preserve">CPT Codes that Support </w:t>
      </w:r>
      <w:r>
        <w:rPr>
          <w:b/>
        </w:rPr>
        <w:t>Medical Necessity</w:t>
      </w:r>
    </w:p>
    <w:tbl>
      <w:tblPr>
        <w:tblStyle w:val="TableGrid"/>
        <w:tblW w:w="4772" w:type="pct"/>
        <w:tblLook w:val="0020" w:firstRow="1" w:lastRow="0" w:firstColumn="0" w:lastColumn="0" w:noHBand="0" w:noVBand="0"/>
      </w:tblPr>
      <w:tblGrid>
        <w:gridCol w:w="1114"/>
        <w:gridCol w:w="7810"/>
      </w:tblGrid>
      <w:tr w:rsidR="00B777AF" w:rsidRPr="00B777AF" w14:paraId="336095BC" w14:textId="77777777" w:rsidTr="008F6E2E">
        <w:trPr>
          <w:tblHeader/>
        </w:trPr>
        <w:tc>
          <w:tcPr>
            <w:tcW w:w="1114" w:type="dxa"/>
            <w:shd w:val="clear" w:color="auto" w:fill="00548C"/>
          </w:tcPr>
          <w:p w14:paraId="6FF5473E" w14:textId="77777777" w:rsidR="00D36448" w:rsidRPr="00B777AF" w:rsidRDefault="00D36448" w:rsidP="00C10DF0">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7810" w:type="dxa"/>
            <w:shd w:val="clear" w:color="auto" w:fill="00548C"/>
          </w:tcPr>
          <w:p w14:paraId="2FBAFBF4" w14:textId="77777777" w:rsidR="00D36448" w:rsidRPr="00B777AF" w:rsidRDefault="00D36448" w:rsidP="00C10DF0">
            <w:pPr>
              <w:rPr>
                <w:b/>
                <w:bCs/>
                <w:color w:val="FFFFFF" w:themeColor="background1"/>
              </w:rPr>
            </w:pPr>
            <w:r w:rsidRPr="00B777AF">
              <w:rPr>
                <w:b/>
                <w:color w:val="FFFFFF" w:themeColor="background1"/>
              </w:rPr>
              <w:t>Description</w:t>
            </w:r>
          </w:p>
        </w:tc>
      </w:tr>
      <w:tr w:rsidR="006072CC" w:rsidRPr="005144C0" w14:paraId="4FA382F2" w14:textId="77777777" w:rsidTr="008F6E2E">
        <w:tc>
          <w:tcPr>
            <w:tcW w:w="1114" w:type="dxa"/>
          </w:tcPr>
          <w:p w14:paraId="1DF027CC" w14:textId="2EC0A768" w:rsidR="006072CC" w:rsidRDefault="006072CC" w:rsidP="00C10DF0">
            <w:pPr>
              <w:rPr>
                <w:bCs/>
              </w:rPr>
            </w:pPr>
            <w:r>
              <w:rPr>
                <w:bCs/>
              </w:rPr>
              <w:t>62287*</w:t>
            </w:r>
          </w:p>
        </w:tc>
        <w:tc>
          <w:tcPr>
            <w:tcW w:w="7810" w:type="dxa"/>
          </w:tcPr>
          <w:p w14:paraId="21337F33" w14:textId="7F7807BD" w:rsidR="006072CC" w:rsidRDefault="006072CC" w:rsidP="00136536">
            <w:r>
              <w:t>Decompression procedure, percutaneous, of nucleus pulposus of intervertebral disc, any method utilizing needle based technique to remove disc material under fluoroscopic imaging or other form of indirect visualization, with discography and/or epidural injection(s) at the treated level(s), when performed, single or multiple levels, lumbar</w:t>
            </w:r>
          </w:p>
        </w:tc>
      </w:tr>
    </w:tbl>
    <w:p w14:paraId="196808AB" w14:textId="15A38A06" w:rsidR="00AF5490" w:rsidRDefault="006072CC" w:rsidP="00AF5490">
      <w:pPr>
        <w:rPr>
          <w:sz w:val="20"/>
          <w:szCs w:val="20"/>
        </w:rPr>
      </w:pPr>
      <w:r>
        <w:rPr>
          <w:b/>
          <w:bCs/>
          <w:sz w:val="20"/>
          <w:szCs w:val="20"/>
        </w:rPr>
        <w:t xml:space="preserve">* </w:t>
      </w:r>
      <w:r>
        <w:rPr>
          <w:sz w:val="20"/>
          <w:szCs w:val="20"/>
        </w:rPr>
        <w:t xml:space="preserve">Important Note: This code encompasses various disc procedures, not all of which are considered medically necessary by </w:t>
      </w:r>
      <w:r w:rsidR="00701F61">
        <w:rPr>
          <w:sz w:val="20"/>
          <w:szCs w:val="20"/>
        </w:rPr>
        <w:t>Centene</w:t>
      </w:r>
      <w:r>
        <w:rPr>
          <w:sz w:val="20"/>
          <w:szCs w:val="20"/>
        </w:rPr>
        <w:t xml:space="preserve">. To determine medical necessity, the actual procedure to be performed must be specified. </w:t>
      </w:r>
    </w:p>
    <w:p w14:paraId="1F91D16C" w14:textId="21ADAB9C" w:rsidR="003F3D44" w:rsidRDefault="003F3D44" w:rsidP="00AF5490"/>
    <w:p w14:paraId="1E9D382C" w14:textId="396DFF13" w:rsidR="00D04534" w:rsidRPr="00D04534" w:rsidRDefault="00D04534" w:rsidP="00AF5490">
      <w:pPr>
        <w:rPr>
          <w:b/>
        </w:rPr>
      </w:pPr>
      <w:r w:rsidRPr="00D04534">
        <w:rPr>
          <w:b/>
        </w:rPr>
        <w:t>CPT Codes that DO NOT Sup</w:t>
      </w:r>
      <w:r>
        <w:rPr>
          <w:b/>
        </w:rPr>
        <w:t>p</w:t>
      </w:r>
      <w:r w:rsidRPr="00D04534">
        <w:rPr>
          <w:b/>
        </w:rPr>
        <w:t xml:space="preserve">ort </w:t>
      </w:r>
      <w:r>
        <w:rPr>
          <w:b/>
        </w:rPr>
        <w:t>Medical Necessity</w:t>
      </w:r>
    </w:p>
    <w:tbl>
      <w:tblPr>
        <w:tblStyle w:val="TableGrid"/>
        <w:tblW w:w="4772" w:type="pct"/>
        <w:tblLook w:val="0020" w:firstRow="1" w:lastRow="0" w:firstColumn="0" w:lastColumn="0" w:noHBand="0" w:noVBand="0"/>
      </w:tblPr>
      <w:tblGrid>
        <w:gridCol w:w="1114"/>
        <w:gridCol w:w="7810"/>
      </w:tblGrid>
      <w:tr w:rsidR="00D04534" w:rsidRPr="00B777AF" w14:paraId="5AC7F092" w14:textId="77777777" w:rsidTr="00C44478">
        <w:trPr>
          <w:tblHeader/>
        </w:trPr>
        <w:tc>
          <w:tcPr>
            <w:tcW w:w="1114" w:type="dxa"/>
            <w:shd w:val="clear" w:color="auto" w:fill="00548C"/>
          </w:tcPr>
          <w:p w14:paraId="6F5A3F6D" w14:textId="77777777" w:rsidR="00D04534" w:rsidRPr="00B777AF" w:rsidRDefault="00D04534" w:rsidP="00C44478">
            <w:pPr>
              <w:rPr>
                <w:b/>
                <w:bCs/>
                <w:color w:val="FFFFFF" w:themeColor="background1"/>
              </w:rPr>
            </w:pPr>
            <w:r w:rsidRPr="00B777AF">
              <w:rPr>
                <w:b/>
                <w:color w:val="FFFFFF" w:themeColor="background1"/>
              </w:rPr>
              <w:t>CPT</w:t>
            </w:r>
            <w:r>
              <w:rPr>
                <w:b/>
                <w:color w:val="FFFFFF" w:themeColor="background1"/>
                <w:vertAlign w:val="superscript"/>
              </w:rPr>
              <w:t>®</w:t>
            </w:r>
            <w:r w:rsidRPr="00B777AF">
              <w:rPr>
                <w:b/>
                <w:color w:val="FFFFFF" w:themeColor="background1"/>
              </w:rPr>
              <w:t xml:space="preserve"> Codes </w:t>
            </w:r>
          </w:p>
        </w:tc>
        <w:tc>
          <w:tcPr>
            <w:tcW w:w="7810" w:type="dxa"/>
            <w:shd w:val="clear" w:color="auto" w:fill="00548C"/>
          </w:tcPr>
          <w:p w14:paraId="74401DE6" w14:textId="77777777" w:rsidR="00D04534" w:rsidRPr="00B777AF" w:rsidRDefault="00D04534" w:rsidP="00C44478">
            <w:pPr>
              <w:rPr>
                <w:b/>
                <w:bCs/>
                <w:color w:val="FFFFFF" w:themeColor="background1"/>
              </w:rPr>
            </w:pPr>
            <w:r w:rsidRPr="00B777AF">
              <w:rPr>
                <w:b/>
                <w:color w:val="FFFFFF" w:themeColor="background1"/>
              </w:rPr>
              <w:t>Description</w:t>
            </w:r>
          </w:p>
        </w:tc>
      </w:tr>
      <w:tr w:rsidR="00D04534" w:rsidRPr="005144C0" w14:paraId="3A758D7C" w14:textId="77777777" w:rsidTr="00C44478">
        <w:tc>
          <w:tcPr>
            <w:tcW w:w="1114" w:type="dxa"/>
          </w:tcPr>
          <w:p w14:paraId="43650028" w14:textId="0EA2BE20" w:rsidR="00D04534" w:rsidRDefault="00D04534" w:rsidP="00D04534">
            <w:pPr>
              <w:rPr>
                <w:bCs/>
              </w:rPr>
            </w:pPr>
            <w:r>
              <w:rPr>
                <w:bCs/>
              </w:rPr>
              <w:t>0275T</w:t>
            </w:r>
          </w:p>
        </w:tc>
        <w:tc>
          <w:tcPr>
            <w:tcW w:w="7810" w:type="dxa"/>
          </w:tcPr>
          <w:p w14:paraId="14C3E6AF" w14:textId="7247061A" w:rsidR="00D04534" w:rsidRDefault="00D04534" w:rsidP="00D04534">
            <w:r>
              <w:t>Percutaneous laminotomy/laminectomy (interlaminar approach) for decompression of neural elements, (with or without ligamentous resection, discectomy, facetectomy and/or foraminotomy), any method, under indirect image guidance (eg, fluoroscopic, CT), single or multiple levels, unilateral or bilateral; lumbar</w:t>
            </w:r>
          </w:p>
        </w:tc>
      </w:tr>
    </w:tbl>
    <w:p w14:paraId="2C1B9F45" w14:textId="3B79820D" w:rsidR="00D04534" w:rsidRDefault="00D04534" w:rsidP="00AF5490"/>
    <w:p w14:paraId="3F7F0EBB" w14:textId="39BE3A6F" w:rsidR="00D04534" w:rsidRPr="00D04534" w:rsidRDefault="00D04534" w:rsidP="00AF5490">
      <w:pPr>
        <w:rPr>
          <w:b/>
        </w:rPr>
      </w:pPr>
      <w:r>
        <w:rPr>
          <w:b/>
        </w:rPr>
        <w:t>HCPCS</w:t>
      </w:r>
      <w:r w:rsidRPr="00D04534">
        <w:rPr>
          <w:b/>
        </w:rPr>
        <w:t xml:space="preserve"> Codes that Support </w:t>
      </w:r>
      <w:r>
        <w:rPr>
          <w:b/>
        </w:rPr>
        <w:t>Medical Necessity</w:t>
      </w:r>
    </w:p>
    <w:tbl>
      <w:tblPr>
        <w:tblStyle w:val="TableGrid"/>
        <w:tblW w:w="4772" w:type="pct"/>
        <w:tblLook w:val="0020" w:firstRow="1" w:lastRow="0" w:firstColumn="0" w:lastColumn="0" w:noHBand="0" w:noVBand="0"/>
      </w:tblPr>
      <w:tblGrid>
        <w:gridCol w:w="1126"/>
        <w:gridCol w:w="7798"/>
      </w:tblGrid>
      <w:tr w:rsidR="004751BC" w:rsidRPr="00B777AF" w14:paraId="2DDB7CBF" w14:textId="77777777" w:rsidTr="008F6E2E">
        <w:trPr>
          <w:tblHeader/>
        </w:trPr>
        <w:tc>
          <w:tcPr>
            <w:tcW w:w="1126" w:type="dxa"/>
            <w:shd w:val="clear" w:color="auto" w:fill="00548C"/>
          </w:tcPr>
          <w:p w14:paraId="3C1D3118" w14:textId="77777777" w:rsidR="004751BC" w:rsidRPr="00B777AF" w:rsidRDefault="004751BC" w:rsidP="003B3065">
            <w:pPr>
              <w:rPr>
                <w:b/>
                <w:bCs/>
                <w:color w:val="FFFFFF" w:themeColor="background1"/>
              </w:rPr>
            </w:pPr>
            <w:r>
              <w:rPr>
                <w:b/>
                <w:color w:val="FFFFFF" w:themeColor="background1"/>
              </w:rPr>
              <w:t>HCPCS</w:t>
            </w:r>
            <w:r w:rsidRPr="00B777AF">
              <w:rPr>
                <w:b/>
                <w:color w:val="FFFFFF" w:themeColor="background1"/>
              </w:rPr>
              <w:t xml:space="preserve"> Codes </w:t>
            </w:r>
          </w:p>
        </w:tc>
        <w:tc>
          <w:tcPr>
            <w:tcW w:w="7798" w:type="dxa"/>
            <w:shd w:val="clear" w:color="auto" w:fill="00548C"/>
          </w:tcPr>
          <w:p w14:paraId="46F1306C" w14:textId="77777777" w:rsidR="004751BC" w:rsidRPr="00B777AF" w:rsidRDefault="004751BC" w:rsidP="003B3065">
            <w:pPr>
              <w:rPr>
                <w:b/>
                <w:bCs/>
                <w:color w:val="FFFFFF" w:themeColor="background1"/>
              </w:rPr>
            </w:pPr>
            <w:r w:rsidRPr="00B777AF">
              <w:rPr>
                <w:b/>
                <w:color w:val="FFFFFF" w:themeColor="background1"/>
              </w:rPr>
              <w:t>Description</w:t>
            </w:r>
          </w:p>
        </w:tc>
      </w:tr>
      <w:tr w:rsidR="004751BC" w:rsidRPr="005144C0" w14:paraId="0251CAE9" w14:textId="77777777" w:rsidTr="008F6E2E">
        <w:tc>
          <w:tcPr>
            <w:tcW w:w="1126" w:type="dxa"/>
          </w:tcPr>
          <w:p w14:paraId="584D793C" w14:textId="77F1CE02" w:rsidR="004751BC" w:rsidRPr="005144C0" w:rsidRDefault="004751BC" w:rsidP="003B3065">
            <w:pPr>
              <w:rPr>
                <w:bCs/>
              </w:rPr>
            </w:pPr>
            <w:r>
              <w:rPr>
                <w:bCs/>
              </w:rPr>
              <w:t>S2350</w:t>
            </w:r>
          </w:p>
        </w:tc>
        <w:tc>
          <w:tcPr>
            <w:tcW w:w="7798" w:type="dxa"/>
          </w:tcPr>
          <w:p w14:paraId="2F30E870" w14:textId="3341E809" w:rsidR="004751BC" w:rsidRPr="005144C0" w:rsidRDefault="004751BC" w:rsidP="003B3065">
            <w:pPr>
              <w:rPr>
                <w:bCs/>
              </w:rPr>
            </w:pPr>
            <w:r w:rsidRPr="004751BC">
              <w:rPr>
                <w:bCs/>
              </w:rPr>
              <w:t>Diskectomy, anterior, with decompression of spinal cord and/or nerve root(s), including osteophytectomy; lumbar, single interspace</w:t>
            </w:r>
          </w:p>
        </w:tc>
      </w:tr>
      <w:tr w:rsidR="004751BC" w:rsidRPr="005144C0" w14:paraId="1430AA00" w14:textId="77777777" w:rsidTr="008F6E2E">
        <w:tc>
          <w:tcPr>
            <w:tcW w:w="1126" w:type="dxa"/>
          </w:tcPr>
          <w:p w14:paraId="3E5476DB" w14:textId="6D78ECD6" w:rsidR="004751BC" w:rsidRDefault="004751BC" w:rsidP="003B3065">
            <w:pPr>
              <w:rPr>
                <w:bCs/>
              </w:rPr>
            </w:pPr>
            <w:r>
              <w:rPr>
                <w:bCs/>
              </w:rPr>
              <w:t>S2351</w:t>
            </w:r>
          </w:p>
        </w:tc>
        <w:tc>
          <w:tcPr>
            <w:tcW w:w="7798" w:type="dxa"/>
          </w:tcPr>
          <w:p w14:paraId="49607336" w14:textId="635E0A2F" w:rsidR="004751BC" w:rsidRPr="004751BC" w:rsidRDefault="004751BC" w:rsidP="003B3065">
            <w:pPr>
              <w:rPr>
                <w:bCs/>
              </w:rPr>
            </w:pPr>
            <w:r w:rsidRPr="004751BC">
              <w:rPr>
                <w:bCs/>
              </w:rPr>
              <w:t>Diskectomy, anterior, with decompression of spinal cord and/or nerve root(s), including osteophytectomy; lumbar, each additional interspace (list separately in addition to code for primary procedure)</w:t>
            </w:r>
          </w:p>
        </w:tc>
      </w:tr>
    </w:tbl>
    <w:p w14:paraId="125BF9A3" w14:textId="77777777" w:rsidR="004751BC" w:rsidRPr="008F6E2E" w:rsidRDefault="004751BC" w:rsidP="00AF5490">
      <w:pPr>
        <w:rPr>
          <w:b/>
        </w:rPr>
      </w:pPr>
    </w:p>
    <w:p w14:paraId="217FC234" w14:textId="77777777" w:rsidR="00D04534" w:rsidRDefault="00D04534" w:rsidP="00AF5490">
      <w:pPr>
        <w:rPr>
          <w:b/>
        </w:rPr>
      </w:pPr>
    </w:p>
    <w:p w14:paraId="12E755AD" w14:textId="77777777" w:rsidR="00D04534" w:rsidRDefault="00D04534" w:rsidP="00AF5490">
      <w:pPr>
        <w:rPr>
          <w:b/>
        </w:rPr>
      </w:pPr>
    </w:p>
    <w:p w14:paraId="6D3BD0C5" w14:textId="77777777" w:rsidR="00D04534" w:rsidRDefault="00D04534" w:rsidP="00AF5490">
      <w:pPr>
        <w:rPr>
          <w:b/>
        </w:rPr>
      </w:pPr>
    </w:p>
    <w:p w14:paraId="381BDA6D" w14:textId="5358D586" w:rsidR="00350F22" w:rsidRPr="00350F22" w:rsidRDefault="00350F22" w:rsidP="00AF5490">
      <w:pPr>
        <w:rPr>
          <w:b/>
        </w:rPr>
      </w:pPr>
      <w:r w:rsidRPr="00350F22">
        <w:rPr>
          <w:b/>
        </w:rPr>
        <w:lastRenderedPageBreak/>
        <w:t xml:space="preserve">ICD-10-CM Diagnosis Codes that Support </w:t>
      </w:r>
      <w:r w:rsidR="00D04534">
        <w:rPr>
          <w:b/>
        </w:rPr>
        <w:t>Medical Necessity</w:t>
      </w:r>
    </w:p>
    <w:tbl>
      <w:tblPr>
        <w:tblStyle w:val="TableGrid"/>
        <w:tblW w:w="4772" w:type="pct"/>
        <w:tblLook w:val="0020" w:firstRow="1" w:lastRow="0" w:firstColumn="0" w:lastColumn="0" w:noHBand="0" w:noVBand="0"/>
      </w:tblPr>
      <w:tblGrid>
        <w:gridCol w:w="1885"/>
        <w:gridCol w:w="7039"/>
      </w:tblGrid>
      <w:tr w:rsidR="00350F22" w:rsidRPr="00B777AF" w14:paraId="3BA14727" w14:textId="77777777" w:rsidTr="002F1A2C">
        <w:trPr>
          <w:tblHeader/>
        </w:trPr>
        <w:tc>
          <w:tcPr>
            <w:tcW w:w="1885" w:type="dxa"/>
            <w:shd w:val="clear" w:color="auto" w:fill="00548C"/>
          </w:tcPr>
          <w:p w14:paraId="1F97584C" w14:textId="77777777" w:rsidR="00350F22" w:rsidRPr="00350F22" w:rsidRDefault="00350F22" w:rsidP="00350F22">
            <w:pPr>
              <w:rPr>
                <w:b/>
                <w:bCs/>
                <w:color w:val="FFFFFF"/>
              </w:rPr>
            </w:pPr>
            <w:r>
              <w:rPr>
                <w:b/>
                <w:color w:val="FFFFFF"/>
              </w:rPr>
              <w:t>ICD-10-CM Code</w:t>
            </w:r>
          </w:p>
        </w:tc>
        <w:tc>
          <w:tcPr>
            <w:tcW w:w="7039" w:type="dxa"/>
            <w:shd w:val="clear" w:color="auto" w:fill="00548C"/>
          </w:tcPr>
          <w:p w14:paraId="0C232724" w14:textId="77777777" w:rsidR="00350F22" w:rsidRPr="00350F22" w:rsidRDefault="00350F22" w:rsidP="00F91367">
            <w:pPr>
              <w:rPr>
                <w:b/>
                <w:bCs/>
                <w:color w:val="FFFFFF"/>
              </w:rPr>
            </w:pPr>
            <w:r w:rsidRPr="00350F22">
              <w:rPr>
                <w:b/>
                <w:color w:val="FFFFFF"/>
              </w:rPr>
              <w:t>Description</w:t>
            </w:r>
          </w:p>
        </w:tc>
      </w:tr>
      <w:tr w:rsidR="00314703" w:rsidRPr="005144C0" w14:paraId="28393639" w14:textId="77777777" w:rsidTr="002F1A2C">
        <w:tc>
          <w:tcPr>
            <w:tcW w:w="1885" w:type="dxa"/>
          </w:tcPr>
          <w:p w14:paraId="20114C77" w14:textId="2821EE37" w:rsidR="00314703" w:rsidRDefault="00314703" w:rsidP="00314703">
            <w:pPr>
              <w:rPr>
                <w:bCs/>
              </w:rPr>
            </w:pPr>
            <w:r w:rsidRPr="00314703">
              <w:rPr>
                <w:bCs/>
              </w:rPr>
              <w:t>M51.16</w:t>
            </w:r>
          </w:p>
        </w:tc>
        <w:tc>
          <w:tcPr>
            <w:tcW w:w="7039" w:type="dxa"/>
          </w:tcPr>
          <w:p w14:paraId="52AF400E" w14:textId="29CFE8C7" w:rsidR="00314703" w:rsidRPr="001C640D" w:rsidRDefault="00314703" w:rsidP="00F91367">
            <w:r w:rsidRPr="00314703">
              <w:t>Intervertebral disc disorders with radiculopathy, lumbar region</w:t>
            </w:r>
          </w:p>
        </w:tc>
      </w:tr>
      <w:tr w:rsidR="00A35582" w:rsidRPr="005144C0" w14:paraId="35448C22" w14:textId="77777777" w:rsidTr="002F1A2C">
        <w:tc>
          <w:tcPr>
            <w:tcW w:w="1885" w:type="dxa"/>
          </w:tcPr>
          <w:p w14:paraId="36105357" w14:textId="21C0D204" w:rsidR="00A35582" w:rsidRPr="00314703" w:rsidRDefault="00A35582" w:rsidP="00314703">
            <w:pPr>
              <w:rPr>
                <w:bCs/>
              </w:rPr>
            </w:pPr>
            <w:r>
              <w:rPr>
                <w:bCs/>
              </w:rPr>
              <w:t>M51.17</w:t>
            </w:r>
          </w:p>
        </w:tc>
        <w:tc>
          <w:tcPr>
            <w:tcW w:w="7039" w:type="dxa"/>
          </w:tcPr>
          <w:p w14:paraId="2B59F624" w14:textId="5571684C" w:rsidR="00A35582" w:rsidRPr="00314703" w:rsidRDefault="00A35582" w:rsidP="00F91367">
            <w:r w:rsidRPr="00A35582">
              <w:t>Intervertebral disc disorders with radiculopathy, lumbosacral region</w:t>
            </w:r>
          </w:p>
        </w:tc>
      </w:tr>
      <w:tr w:rsidR="001E6E8B" w:rsidRPr="005144C0" w14:paraId="1B3D480E" w14:textId="77777777" w:rsidTr="002F1A2C">
        <w:tc>
          <w:tcPr>
            <w:tcW w:w="1885" w:type="dxa"/>
          </w:tcPr>
          <w:p w14:paraId="326566E9" w14:textId="190212FC" w:rsidR="001E6E8B" w:rsidRDefault="001E6E8B" w:rsidP="00F91367">
            <w:pPr>
              <w:rPr>
                <w:bCs/>
              </w:rPr>
            </w:pPr>
            <w:r>
              <w:rPr>
                <w:bCs/>
              </w:rPr>
              <w:t>M51.26</w:t>
            </w:r>
          </w:p>
        </w:tc>
        <w:tc>
          <w:tcPr>
            <w:tcW w:w="7039" w:type="dxa"/>
          </w:tcPr>
          <w:p w14:paraId="7729D780" w14:textId="6523484F" w:rsidR="001E6E8B" w:rsidRPr="001C640D" w:rsidRDefault="001E6E8B" w:rsidP="00F91367">
            <w:r w:rsidRPr="001C640D">
              <w:t>Other intervertebral disc displacement, lumbar region</w:t>
            </w:r>
          </w:p>
        </w:tc>
      </w:tr>
      <w:tr w:rsidR="00A35582" w:rsidRPr="005144C0" w14:paraId="34A24D58" w14:textId="77777777" w:rsidTr="002F1A2C">
        <w:tc>
          <w:tcPr>
            <w:tcW w:w="1885" w:type="dxa"/>
          </w:tcPr>
          <w:p w14:paraId="5208D39C" w14:textId="517E0235" w:rsidR="00A35582" w:rsidRDefault="00A35582" w:rsidP="00F91367">
            <w:pPr>
              <w:rPr>
                <w:bCs/>
              </w:rPr>
            </w:pPr>
            <w:r>
              <w:rPr>
                <w:bCs/>
              </w:rPr>
              <w:t>M51.27</w:t>
            </w:r>
          </w:p>
        </w:tc>
        <w:tc>
          <w:tcPr>
            <w:tcW w:w="7039" w:type="dxa"/>
          </w:tcPr>
          <w:p w14:paraId="37AAF5BE" w14:textId="707348F1" w:rsidR="00A35582" w:rsidRPr="001C640D" w:rsidRDefault="00A35582" w:rsidP="00F91367">
            <w:r w:rsidRPr="00A35582">
              <w:t>Other intervertebral disc displacement, lumbosacral region</w:t>
            </w:r>
          </w:p>
        </w:tc>
      </w:tr>
      <w:tr w:rsidR="00350F22" w:rsidRPr="005144C0" w14:paraId="7173871B" w14:textId="77777777" w:rsidTr="002F1A2C">
        <w:tc>
          <w:tcPr>
            <w:tcW w:w="1885" w:type="dxa"/>
          </w:tcPr>
          <w:p w14:paraId="35336A0D" w14:textId="0181D2A8" w:rsidR="00350F22" w:rsidRPr="005144C0" w:rsidRDefault="001E6E8B" w:rsidP="00F91367">
            <w:pPr>
              <w:rPr>
                <w:bCs/>
              </w:rPr>
            </w:pPr>
            <w:r>
              <w:rPr>
                <w:bCs/>
              </w:rPr>
              <w:t>M54.16</w:t>
            </w:r>
          </w:p>
        </w:tc>
        <w:tc>
          <w:tcPr>
            <w:tcW w:w="7039" w:type="dxa"/>
          </w:tcPr>
          <w:p w14:paraId="1078481F" w14:textId="69D0921A" w:rsidR="00350F22" w:rsidRPr="001C640D" w:rsidRDefault="001E6E8B" w:rsidP="00F91367">
            <w:pPr>
              <w:rPr>
                <w:bCs/>
              </w:rPr>
            </w:pPr>
            <w:r w:rsidRPr="001C640D">
              <w:t>Radiculopathy, lumbar region</w:t>
            </w:r>
          </w:p>
        </w:tc>
      </w:tr>
      <w:tr w:rsidR="00A35582" w:rsidRPr="005144C0" w14:paraId="1EEC784B" w14:textId="77777777" w:rsidTr="002F1A2C">
        <w:tc>
          <w:tcPr>
            <w:tcW w:w="1885" w:type="dxa"/>
          </w:tcPr>
          <w:p w14:paraId="1140EF85" w14:textId="70CFA87E" w:rsidR="00A35582" w:rsidRDefault="00A35582" w:rsidP="00F91367">
            <w:pPr>
              <w:rPr>
                <w:bCs/>
              </w:rPr>
            </w:pPr>
            <w:r>
              <w:rPr>
                <w:bCs/>
              </w:rPr>
              <w:t>M54.17</w:t>
            </w:r>
          </w:p>
        </w:tc>
        <w:tc>
          <w:tcPr>
            <w:tcW w:w="7039" w:type="dxa"/>
          </w:tcPr>
          <w:p w14:paraId="03318CA0" w14:textId="43FD728B" w:rsidR="00A35582" w:rsidRPr="001C640D" w:rsidRDefault="00A35582" w:rsidP="00F91367">
            <w:r w:rsidRPr="00A35582">
              <w:t>Radiculopathy, lumbosacral region</w:t>
            </w:r>
          </w:p>
        </w:tc>
      </w:tr>
      <w:tr w:rsidR="001E6E8B" w:rsidRPr="005144C0" w14:paraId="7E19A438" w14:textId="77777777" w:rsidTr="002F1A2C">
        <w:tc>
          <w:tcPr>
            <w:tcW w:w="1885" w:type="dxa"/>
          </w:tcPr>
          <w:p w14:paraId="67FEB4CF" w14:textId="2FF6CE77" w:rsidR="001E6E8B" w:rsidRDefault="001E6E8B" w:rsidP="00F91367">
            <w:pPr>
              <w:rPr>
                <w:bCs/>
              </w:rPr>
            </w:pPr>
            <w:r>
              <w:rPr>
                <w:bCs/>
              </w:rPr>
              <w:t>M54.30-M54.32</w:t>
            </w:r>
          </w:p>
        </w:tc>
        <w:tc>
          <w:tcPr>
            <w:tcW w:w="7039" w:type="dxa"/>
          </w:tcPr>
          <w:p w14:paraId="316B57F2" w14:textId="6B0EC35D" w:rsidR="001E6E8B" w:rsidRPr="001C640D" w:rsidRDefault="001E6E8B" w:rsidP="00F91367">
            <w:r w:rsidRPr="001C640D">
              <w:t>Sciatica</w:t>
            </w:r>
          </w:p>
        </w:tc>
      </w:tr>
      <w:tr w:rsidR="001E6E8B" w:rsidRPr="005144C0" w14:paraId="31EF7D92" w14:textId="77777777" w:rsidTr="002F1A2C">
        <w:tc>
          <w:tcPr>
            <w:tcW w:w="1885" w:type="dxa"/>
          </w:tcPr>
          <w:p w14:paraId="7AB54B08" w14:textId="4BB118B7" w:rsidR="001E6E8B" w:rsidRDefault="001E6E8B" w:rsidP="00F91367">
            <w:pPr>
              <w:rPr>
                <w:bCs/>
              </w:rPr>
            </w:pPr>
            <w:r>
              <w:rPr>
                <w:bCs/>
              </w:rPr>
              <w:t>M54.40-M54.42</w:t>
            </w:r>
          </w:p>
        </w:tc>
        <w:tc>
          <w:tcPr>
            <w:tcW w:w="7039" w:type="dxa"/>
          </w:tcPr>
          <w:p w14:paraId="180C7BA1" w14:textId="064A33D4" w:rsidR="001E6E8B" w:rsidRPr="001C640D" w:rsidRDefault="001E6E8B" w:rsidP="00F91367">
            <w:r w:rsidRPr="001C640D">
              <w:t>Lumbago with sciatica</w:t>
            </w:r>
          </w:p>
        </w:tc>
      </w:tr>
    </w:tbl>
    <w:p w14:paraId="7812F956"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30D1E11F"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0AF4530E" w14:textId="77777777" w:rsidR="00B777AF" w:rsidRPr="00B777AF" w:rsidRDefault="00B777AF" w:rsidP="00B777AF">
            <w:pPr>
              <w:rPr>
                <w:bCs w:val="0"/>
              </w:rPr>
            </w:pPr>
            <w:bookmarkStart w:id="2" w:name="Revision_Log"/>
            <w:r w:rsidRPr="00B777AF">
              <w:rPr>
                <w:bCs w:val="0"/>
              </w:rPr>
              <w:t>Reviews</w:t>
            </w:r>
            <w:r>
              <w:rPr>
                <w:bCs w:val="0"/>
              </w:rPr>
              <w:t>, Revisions, and Approvals</w:t>
            </w:r>
            <w:bookmarkEnd w:id="2"/>
          </w:p>
        </w:tc>
        <w:tc>
          <w:tcPr>
            <w:tcW w:w="810" w:type="dxa"/>
            <w:shd w:val="clear" w:color="auto" w:fill="00548C"/>
          </w:tcPr>
          <w:p w14:paraId="5A22E879"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083D4021"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00F59A53"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5AD38609" w14:textId="7FC9EC7E" w:rsidR="00B777AF" w:rsidRDefault="00E06818" w:rsidP="008F2A00">
            <w:pPr>
              <w:tabs>
                <w:tab w:val="num" w:pos="720"/>
              </w:tabs>
            </w:pPr>
            <w:r>
              <w:t>Policy split from CP.MP.63 Pain Management Procedures.</w:t>
            </w:r>
          </w:p>
          <w:p w14:paraId="303AD764" w14:textId="5525CD43" w:rsidR="00E06818" w:rsidRDefault="00E06818" w:rsidP="008F2A00">
            <w:pPr>
              <w:tabs>
                <w:tab w:val="num" w:pos="720"/>
              </w:tabs>
            </w:pPr>
            <w:r>
              <w:t>Clarified that open discectomy and microdiscectomy are medically necessary, while minimally invasive discectomy procedures are not.</w:t>
            </w:r>
            <w:r w:rsidR="00701F61">
              <w:t xml:space="preserve"> Added c</w:t>
            </w:r>
            <w:r w:rsidR="007F5C32">
              <w:t>riteria for open/microdiscectomy</w:t>
            </w:r>
            <w:r w:rsidR="00701F61">
              <w:t>.</w:t>
            </w:r>
          </w:p>
          <w:p w14:paraId="7EB61F66" w14:textId="2C9F98DD" w:rsidR="00E06818" w:rsidRDefault="00E06818" w:rsidP="00D970FA">
            <w:pPr>
              <w:tabs>
                <w:tab w:val="num" w:pos="720"/>
              </w:tabs>
            </w:pPr>
            <w:r>
              <w:t>Added background information</w:t>
            </w:r>
            <w:r w:rsidR="00D970FA">
              <w:t xml:space="preserve">, CPT, and </w:t>
            </w:r>
            <w:r w:rsidR="00701F61">
              <w:t>ICD-10 codes.</w:t>
            </w:r>
          </w:p>
        </w:tc>
        <w:tc>
          <w:tcPr>
            <w:tcW w:w="810" w:type="dxa"/>
            <w:tcBorders>
              <w:top w:val="none" w:sz="0" w:space="0" w:color="auto"/>
              <w:bottom w:val="none" w:sz="0" w:space="0" w:color="auto"/>
            </w:tcBorders>
          </w:tcPr>
          <w:p w14:paraId="2BDF94A7" w14:textId="737E997F" w:rsidR="00B777AF" w:rsidRDefault="00E06818" w:rsidP="005776FD">
            <w:pPr>
              <w:jc w:val="center"/>
              <w:cnfStyle w:val="000000100000" w:firstRow="0" w:lastRow="0" w:firstColumn="0" w:lastColumn="0" w:oddVBand="0" w:evenVBand="0" w:oddHBand="1" w:evenHBand="0" w:firstRowFirstColumn="0" w:firstRowLastColumn="0" w:lastRowFirstColumn="0" w:lastRowLastColumn="0"/>
            </w:pPr>
            <w:r>
              <w:t>07/16</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3B56833D" w14:textId="10DC327D" w:rsidR="00B777AF" w:rsidRDefault="00C93EA9" w:rsidP="00857C10">
            <w:pPr>
              <w:jc w:val="center"/>
            </w:pPr>
            <w:r>
              <w:t>07/16</w:t>
            </w:r>
          </w:p>
        </w:tc>
      </w:tr>
      <w:tr w:rsidR="009366BA" w14:paraId="54140E72"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637CE18F" w14:textId="54538A2E" w:rsidR="009366BA" w:rsidRDefault="009366BA" w:rsidP="003A5E9B">
            <w:pPr>
              <w:tabs>
                <w:tab w:val="num" w:pos="720"/>
              </w:tabs>
            </w:pPr>
            <w:r>
              <w:t xml:space="preserve">Added </w:t>
            </w:r>
            <w:r w:rsidR="00560030">
              <w:t xml:space="preserve">NICE </w:t>
            </w:r>
            <w:r w:rsidR="003A5E9B">
              <w:t xml:space="preserve">guidance regarding </w:t>
            </w:r>
            <w:r w:rsidR="003A5E9B" w:rsidRPr="003A5E9B">
              <w:t>automated percutaneous mechanical lumbar discectomy</w:t>
            </w:r>
            <w:r w:rsidR="003A5E9B">
              <w:t>.</w:t>
            </w:r>
            <w:r>
              <w:t xml:space="preserve">  Updated CPT codes.  Reviewed and updated references.</w:t>
            </w:r>
          </w:p>
        </w:tc>
        <w:tc>
          <w:tcPr>
            <w:tcW w:w="810" w:type="dxa"/>
          </w:tcPr>
          <w:p w14:paraId="48E62921" w14:textId="2D038394" w:rsidR="009366BA" w:rsidRDefault="009366BA" w:rsidP="005776FD">
            <w:pPr>
              <w:jc w:val="center"/>
              <w:cnfStyle w:val="000000000000" w:firstRow="0" w:lastRow="0" w:firstColumn="0" w:lastColumn="0" w:oddVBand="0" w:evenVBand="0" w:oddHBand="0" w:evenHBand="0" w:firstRowFirstColumn="0" w:firstRowLastColumn="0" w:lastRowFirstColumn="0" w:lastRowLastColumn="0"/>
            </w:pPr>
            <w:r>
              <w:t>07/17</w:t>
            </w:r>
          </w:p>
        </w:tc>
        <w:tc>
          <w:tcPr>
            <w:cnfStyle w:val="000010000000" w:firstRow="0" w:lastRow="0" w:firstColumn="0" w:lastColumn="0" w:oddVBand="1" w:evenVBand="0" w:oddHBand="0" w:evenHBand="0" w:firstRowFirstColumn="0" w:firstRowLastColumn="0" w:lastRowFirstColumn="0" w:lastRowLastColumn="0"/>
            <w:tcW w:w="1260" w:type="dxa"/>
          </w:tcPr>
          <w:p w14:paraId="40C4AC55" w14:textId="3E20E02E" w:rsidR="009366BA" w:rsidRDefault="003041C9" w:rsidP="00857C10">
            <w:pPr>
              <w:jc w:val="center"/>
            </w:pPr>
            <w:r>
              <w:t>07/17</w:t>
            </w:r>
          </w:p>
        </w:tc>
      </w:tr>
      <w:tr w:rsidR="00BC4D5E" w14:paraId="6BE23D11"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38440B7" w14:textId="10F7AAC5" w:rsidR="00BC4D5E" w:rsidRDefault="00BC4D5E" w:rsidP="007F5C32">
            <w:pPr>
              <w:tabs>
                <w:tab w:val="num" w:pos="720"/>
              </w:tabs>
            </w:pPr>
            <w:r>
              <w:t>Revised I.C.1.a. from a score of &lt;</w:t>
            </w:r>
            <w:r w:rsidR="00E32DA0">
              <w:t xml:space="preserve"> </w:t>
            </w:r>
            <w:r>
              <w:t xml:space="preserve">2 </w:t>
            </w:r>
            <w:r w:rsidRPr="00BC4D5E">
              <w:t>on the Medical Research Council 0 to 5 muscle strength scale</w:t>
            </w:r>
            <w:r>
              <w:t xml:space="preserve"> to a score of &lt;</w:t>
            </w:r>
            <w:r w:rsidR="00E32DA0">
              <w:t xml:space="preserve"> </w:t>
            </w:r>
            <w:r>
              <w:t xml:space="preserve">3 per 2017 IQ criteria. </w:t>
            </w:r>
            <w:r w:rsidR="007F5C32">
              <w:t>Codes updated.</w:t>
            </w:r>
          </w:p>
        </w:tc>
        <w:tc>
          <w:tcPr>
            <w:tcW w:w="810" w:type="dxa"/>
          </w:tcPr>
          <w:p w14:paraId="53B366EC" w14:textId="0285A937" w:rsidR="00BC4D5E" w:rsidRDefault="00BC4D5E" w:rsidP="005776FD">
            <w:pPr>
              <w:jc w:val="center"/>
              <w:cnfStyle w:val="000000100000" w:firstRow="0" w:lastRow="0" w:firstColumn="0" w:lastColumn="0" w:oddVBand="0" w:evenVBand="0" w:oddHBand="1" w:evenHBand="0" w:firstRowFirstColumn="0" w:firstRowLastColumn="0" w:lastRowFirstColumn="0" w:lastRowLastColumn="0"/>
            </w:pPr>
            <w:r>
              <w:t>05/18</w:t>
            </w:r>
          </w:p>
        </w:tc>
        <w:tc>
          <w:tcPr>
            <w:cnfStyle w:val="000010000000" w:firstRow="0" w:lastRow="0" w:firstColumn="0" w:lastColumn="0" w:oddVBand="1" w:evenVBand="0" w:oddHBand="0" w:evenHBand="0" w:firstRowFirstColumn="0" w:firstRowLastColumn="0" w:lastRowFirstColumn="0" w:lastRowLastColumn="0"/>
            <w:tcW w:w="1260" w:type="dxa"/>
          </w:tcPr>
          <w:p w14:paraId="24805FA7" w14:textId="64C2787F" w:rsidR="00BC4D5E" w:rsidRDefault="007F5C32" w:rsidP="00857C10">
            <w:pPr>
              <w:jc w:val="center"/>
            </w:pPr>
            <w:r>
              <w:t>05/18</w:t>
            </w:r>
          </w:p>
        </w:tc>
      </w:tr>
      <w:tr w:rsidR="0059126A" w14:paraId="6B08A721"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1F673753" w14:textId="04B68009" w:rsidR="0059126A" w:rsidRDefault="007F218E" w:rsidP="007F218E">
            <w:pPr>
              <w:tabs>
                <w:tab w:val="num" w:pos="720"/>
              </w:tabs>
            </w:pPr>
            <w:r>
              <w:t xml:space="preserve">Annual review; updated the investigational listing of percutaneous lumbar discectomy to specifically mention MILD. </w:t>
            </w:r>
            <w:r w:rsidR="00CD6388">
              <w:t>Coding reviewed.</w:t>
            </w:r>
          </w:p>
        </w:tc>
        <w:tc>
          <w:tcPr>
            <w:tcW w:w="810" w:type="dxa"/>
          </w:tcPr>
          <w:p w14:paraId="55C22645" w14:textId="00097C62" w:rsidR="0059126A" w:rsidRDefault="0059126A" w:rsidP="005776FD">
            <w:pPr>
              <w:jc w:val="center"/>
              <w:cnfStyle w:val="000000000000" w:firstRow="0" w:lastRow="0" w:firstColumn="0" w:lastColumn="0" w:oddVBand="0" w:evenVBand="0" w:oddHBand="0" w:evenHBand="0" w:firstRowFirstColumn="0" w:firstRowLastColumn="0" w:lastRowFirstColumn="0" w:lastRowLastColumn="0"/>
            </w:pPr>
            <w:r>
              <w:t>04/19</w:t>
            </w:r>
          </w:p>
        </w:tc>
        <w:tc>
          <w:tcPr>
            <w:cnfStyle w:val="000010000000" w:firstRow="0" w:lastRow="0" w:firstColumn="0" w:lastColumn="0" w:oddVBand="1" w:evenVBand="0" w:oddHBand="0" w:evenHBand="0" w:firstRowFirstColumn="0" w:firstRowLastColumn="0" w:lastRowFirstColumn="0" w:lastRowLastColumn="0"/>
            <w:tcW w:w="1260" w:type="dxa"/>
          </w:tcPr>
          <w:p w14:paraId="14430AF9" w14:textId="00DA9934" w:rsidR="0059126A" w:rsidRDefault="00563D51" w:rsidP="00857C10">
            <w:pPr>
              <w:jc w:val="center"/>
            </w:pPr>
            <w:r>
              <w:t>05/19</w:t>
            </w:r>
          </w:p>
        </w:tc>
      </w:tr>
      <w:tr w:rsidR="00D04534" w14:paraId="0FFBD50B"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5CA1A12D" w14:textId="2E5C97C7" w:rsidR="00D04534" w:rsidRDefault="00D04534" w:rsidP="007F218E">
            <w:pPr>
              <w:tabs>
                <w:tab w:val="num" w:pos="720"/>
              </w:tabs>
            </w:pPr>
            <w:r>
              <w:t>Specified that CPT 0275T is a code that does not support coverage criteria.</w:t>
            </w:r>
          </w:p>
        </w:tc>
        <w:tc>
          <w:tcPr>
            <w:tcW w:w="810" w:type="dxa"/>
          </w:tcPr>
          <w:p w14:paraId="3FB1249F" w14:textId="03F14BFD" w:rsidR="00D04534" w:rsidRDefault="00D04534" w:rsidP="005776FD">
            <w:pPr>
              <w:jc w:val="center"/>
              <w:cnfStyle w:val="000000100000" w:firstRow="0" w:lastRow="0" w:firstColumn="0" w:lastColumn="0" w:oddVBand="0" w:evenVBand="0" w:oddHBand="1" w:evenHBand="0" w:firstRowFirstColumn="0" w:firstRowLastColumn="0" w:lastRowFirstColumn="0" w:lastRowLastColumn="0"/>
            </w:pPr>
            <w:r>
              <w:t>06/19</w:t>
            </w:r>
          </w:p>
        </w:tc>
        <w:tc>
          <w:tcPr>
            <w:cnfStyle w:val="000010000000" w:firstRow="0" w:lastRow="0" w:firstColumn="0" w:lastColumn="0" w:oddVBand="1" w:evenVBand="0" w:oddHBand="0" w:evenHBand="0" w:firstRowFirstColumn="0" w:firstRowLastColumn="0" w:lastRowFirstColumn="0" w:lastRowLastColumn="0"/>
            <w:tcW w:w="1260" w:type="dxa"/>
          </w:tcPr>
          <w:p w14:paraId="09D6C979" w14:textId="77777777" w:rsidR="00D04534" w:rsidRDefault="00D04534" w:rsidP="00857C10">
            <w:pPr>
              <w:jc w:val="center"/>
            </w:pPr>
          </w:p>
        </w:tc>
      </w:tr>
    </w:tbl>
    <w:p w14:paraId="692E097D" w14:textId="77777777" w:rsidR="00B777AF" w:rsidRDefault="00B777AF" w:rsidP="00B777AF">
      <w:pPr>
        <w:pStyle w:val="Heading6"/>
        <w:tabs>
          <w:tab w:val="clear" w:pos="0"/>
        </w:tabs>
      </w:pPr>
    </w:p>
    <w:p w14:paraId="262EE81D" w14:textId="77777777" w:rsidR="00963062" w:rsidRPr="00B777AF" w:rsidRDefault="003F3D44" w:rsidP="00963062">
      <w:pPr>
        <w:pStyle w:val="Heading3"/>
      </w:pPr>
      <w:r>
        <w:t>References</w:t>
      </w:r>
    </w:p>
    <w:p w14:paraId="708B6E75" w14:textId="1C801E5E" w:rsidR="00963062" w:rsidRDefault="00BE1EB9" w:rsidP="00B24EDD">
      <w:pPr>
        <w:pStyle w:val="ListParagraph"/>
        <w:numPr>
          <w:ilvl w:val="2"/>
          <w:numId w:val="30"/>
        </w:numPr>
        <w:ind w:left="360"/>
      </w:pPr>
      <w:r>
        <w:t xml:space="preserve">Chou, R. Subacute and chronic low back pain: Surgical treatment. Atlas SJ, Park L (Eds.). In: UpToDate, Waltham, MA. March 2016. Accessed </w:t>
      </w:r>
      <w:r w:rsidR="008950EA">
        <w:t>April 8, 2019</w:t>
      </w:r>
      <w:r>
        <w:t>.</w:t>
      </w:r>
    </w:p>
    <w:p w14:paraId="252749E1" w14:textId="77DE5F08" w:rsidR="00B24EDD" w:rsidRDefault="00B24EDD" w:rsidP="00B24EDD">
      <w:pPr>
        <w:pStyle w:val="ListParagraph"/>
        <w:numPr>
          <w:ilvl w:val="2"/>
          <w:numId w:val="30"/>
        </w:numPr>
        <w:ind w:left="360"/>
      </w:pPr>
      <w:r w:rsidRPr="00E64B9A">
        <w:t>Rasouli MR, Rahimi-Movaghar V, Shokraneh F, et al. Minimally invasive discectomy versus microdiscectomy/open discectomy for symptomatic lumbar disc herniation. Cochrane Database Syst Rev 2014; 9:CD010328.</w:t>
      </w:r>
    </w:p>
    <w:p w14:paraId="2E96B09F" w14:textId="6962B786" w:rsidR="00E64B9A" w:rsidRDefault="00E64B9A" w:rsidP="00B24EDD">
      <w:pPr>
        <w:pStyle w:val="ListParagraph"/>
        <w:numPr>
          <w:ilvl w:val="2"/>
          <w:numId w:val="30"/>
        </w:numPr>
        <w:ind w:left="360"/>
      </w:pPr>
      <w:r w:rsidRPr="00E64B9A">
        <w:t>Evaniew N, Khan M, Drew B, et al. Minimally invasive versus open surgery for cervical and lumbar discectomy: a systematic review and meta-analysis. CMAJ Open 2014; 2:E295.</w:t>
      </w:r>
    </w:p>
    <w:p w14:paraId="30197B1C" w14:textId="0997DB5A" w:rsidR="00DD6ADB" w:rsidRDefault="00BE1EB9" w:rsidP="00B24EDD">
      <w:pPr>
        <w:pStyle w:val="ListParagraph"/>
        <w:numPr>
          <w:ilvl w:val="2"/>
          <w:numId w:val="30"/>
        </w:numPr>
        <w:ind w:left="360"/>
      </w:pPr>
      <w:r>
        <w:t>Hayes Medical Technology Directory. Automated percutaneous lumbar discectomy. December 2013</w:t>
      </w:r>
      <w:r w:rsidR="003D25B7">
        <w:t>.  Archived 2019</w:t>
      </w:r>
    </w:p>
    <w:p w14:paraId="62887690" w14:textId="471AFDEB" w:rsidR="003D25B7" w:rsidRDefault="003D25B7" w:rsidP="00B24EDD">
      <w:pPr>
        <w:pStyle w:val="ListParagraph"/>
        <w:numPr>
          <w:ilvl w:val="2"/>
          <w:numId w:val="30"/>
        </w:numPr>
        <w:ind w:left="360"/>
      </w:pPr>
      <w:r>
        <w:t>Hayes Search and Summary.  Automated Percutaneous Lumbar Discectomy (APLD).  Pub Feb 04, 2019.  Accessed April 11, 2019.</w:t>
      </w:r>
    </w:p>
    <w:p w14:paraId="08881C36" w14:textId="0DE53C05" w:rsidR="004D057A" w:rsidRDefault="007F14FD" w:rsidP="00B24EDD">
      <w:pPr>
        <w:pStyle w:val="ListParagraph"/>
        <w:numPr>
          <w:ilvl w:val="2"/>
          <w:numId w:val="30"/>
        </w:numPr>
        <w:ind w:left="360"/>
      </w:pPr>
      <w:r w:rsidRPr="007F14FD">
        <w:t xml:space="preserve">Hayes. Health Technology Brief. </w:t>
      </w:r>
      <w:r w:rsidRPr="003D25B7">
        <w:t>Minimally Invasive Lumbar Decompression</w:t>
      </w:r>
      <w:r w:rsidRPr="007F14FD">
        <w:t xml:space="preserve"> (mild; Vertos Medical Inc.) for Lumbar Spinal Stenosis. October 2, 2014.</w:t>
      </w:r>
      <w:r w:rsidR="00AC0B37">
        <w:t xml:space="preserve"> </w:t>
      </w:r>
      <w:r w:rsidR="00776C45">
        <w:t>Archived Nov, 2017</w:t>
      </w:r>
      <w:r w:rsidR="003D25B7">
        <w:t>.</w:t>
      </w:r>
    </w:p>
    <w:p w14:paraId="5A263DEC" w14:textId="4051F0D2" w:rsidR="00FE1B09" w:rsidRDefault="00FE1B09" w:rsidP="00B24EDD">
      <w:pPr>
        <w:pStyle w:val="ListParagraph"/>
        <w:numPr>
          <w:ilvl w:val="2"/>
          <w:numId w:val="30"/>
        </w:numPr>
        <w:ind w:left="360"/>
      </w:pPr>
      <w:r>
        <w:t>Hayes.  Health Technology Brief.  Minimally Invasive Lumbar Decompression (mild; Vertos Medical Inc.) Device Kit for Treatment of Lumbar Spinal Stenosis.  March 26, 2019</w:t>
      </w:r>
      <w:r w:rsidR="009E0700">
        <w:t>.</w:t>
      </w:r>
    </w:p>
    <w:p w14:paraId="7B631758" w14:textId="6683D700" w:rsidR="00E06818" w:rsidRDefault="00E06818" w:rsidP="00B24EDD">
      <w:pPr>
        <w:pStyle w:val="ListParagraph"/>
        <w:numPr>
          <w:ilvl w:val="2"/>
          <w:numId w:val="30"/>
        </w:numPr>
        <w:ind w:left="360"/>
      </w:pPr>
      <w:r w:rsidRPr="00E06818">
        <w:lastRenderedPageBreak/>
        <w:t>Lurie JD, Tosteson TD, Tosteson AN, et al. Surgical versus nonoperative treatment for lumbar disc herniation: eight-year results for the spine patient outcomes research trial. Spine (Phila Pa 1976) 2014; 39:3.</w:t>
      </w:r>
    </w:p>
    <w:p w14:paraId="1FA7FC20" w14:textId="5D6CE7A5" w:rsidR="00B4250A" w:rsidRDefault="00B4250A" w:rsidP="00B4250A">
      <w:pPr>
        <w:pStyle w:val="ListParagraph"/>
        <w:numPr>
          <w:ilvl w:val="2"/>
          <w:numId w:val="30"/>
        </w:numPr>
        <w:ind w:left="360"/>
      </w:pPr>
      <w:r w:rsidRPr="00B4250A">
        <w:t>Pengel LH, Herbert RD, Maher CG, Refshauge KM. Acute low back pain: systematic review of its prognosis. BMJ. 2003; 327(7410): 323.</w:t>
      </w:r>
    </w:p>
    <w:p w14:paraId="7E8FAA25" w14:textId="103A749D" w:rsidR="004F08EA" w:rsidRDefault="004F08EA" w:rsidP="0042692D">
      <w:pPr>
        <w:pStyle w:val="ListParagraph"/>
        <w:numPr>
          <w:ilvl w:val="2"/>
          <w:numId w:val="30"/>
        </w:numPr>
        <w:ind w:left="360"/>
      </w:pPr>
      <w:r w:rsidRPr="004F08EA">
        <w:t>North American Spine Society.  Clinical guidelines for diagnosis and treatment of lumbar disc herniation with radiculopathy.  2012</w:t>
      </w:r>
    </w:p>
    <w:p w14:paraId="5C3BB100" w14:textId="0432425E" w:rsidR="004F08EA" w:rsidRDefault="004F08EA" w:rsidP="0042692D">
      <w:pPr>
        <w:pStyle w:val="ListParagraph"/>
        <w:numPr>
          <w:ilvl w:val="2"/>
          <w:numId w:val="30"/>
        </w:numPr>
        <w:tabs>
          <w:tab w:val="left" w:pos="360"/>
        </w:tabs>
        <w:ind w:left="360"/>
      </w:pPr>
      <w:r w:rsidRPr="004F08EA">
        <w:t xml:space="preserve">The National Institute for Health and Clinical Excellence.  </w:t>
      </w:r>
      <w:r w:rsidR="00A8369C">
        <w:t xml:space="preserve">Automated percutaneous mechanical lumbar discectomy.  </w:t>
      </w:r>
      <w:r w:rsidRPr="004F08EA">
        <w:t>Interventional procedures guidance [IPG141]  Published date: November 2005</w:t>
      </w:r>
    </w:p>
    <w:p w14:paraId="0AF958A3" w14:textId="7A6E3BAB" w:rsidR="002911FC" w:rsidRDefault="002911FC" w:rsidP="0042692D">
      <w:pPr>
        <w:pStyle w:val="ListParagraph"/>
        <w:numPr>
          <w:ilvl w:val="2"/>
          <w:numId w:val="30"/>
        </w:numPr>
        <w:tabs>
          <w:tab w:val="left" w:pos="360"/>
        </w:tabs>
        <w:ind w:left="360"/>
      </w:pPr>
      <w:r>
        <w:t xml:space="preserve">Hayes Search and Summary.  </w:t>
      </w:r>
      <w:r w:rsidRPr="002911FC">
        <w:t>Arthroscopic Microdiscectomy for Lumbar Disc Herniation</w:t>
      </w:r>
      <w:r>
        <w:t>.  Sept 2016</w:t>
      </w:r>
      <w:r w:rsidR="00176FE1">
        <w:t>.  Archived October 09,</w:t>
      </w:r>
      <w:r w:rsidR="003D25B7">
        <w:t xml:space="preserve"> </w:t>
      </w:r>
      <w:r w:rsidR="00176FE1">
        <w:t>2017</w:t>
      </w:r>
    </w:p>
    <w:p w14:paraId="4DACB11F" w14:textId="5EA8B71E" w:rsidR="002911FC" w:rsidRDefault="00F43D40" w:rsidP="0042692D">
      <w:pPr>
        <w:pStyle w:val="ListParagraph"/>
        <w:numPr>
          <w:ilvl w:val="2"/>
          <w:numId w:val="30"/>
        </w:numPr>
        <w:tabs>
          <w:tab w:val="left" w:pos="360"/>
        </w:tabs>
        <w:ind w:left="360"/>
      </w:pPr>
      <w:r w:rsidRPr="00F43D40">
        <w:t>McClelland S 3rd, Goldstein JA.</w:t>
      </w:r>
      <w:r>
        <w:t xml:space="preserve">  </w:t>
      </w:r>
      <w:r w:rsidRPr="00F43D40">
        <w:t>Minimally Invasive versus Open Spine Surgery: What Does the Best Evidence Tell Us?</w:t>
      </w:r>
      <w:r>
        <w:t xml:space="preserve">  </w:t>
      </w:r>
      <w:r w:rsidRPr="00F43D40">
        <w:t>J Neurosci Rural Pract. 2017 Apr-Jun;8(2):194-198.</w:t>
      </w:r>
    </w:p>
    <w:p w14:paraId="47CD4D8C" w14:textId="177A9309" w:rsidR="00F43D40" w:rsidRDefault="00F43D40" w:rsidP="0042692D">
      <w:pPr>
        <w:pStyle w:val="ListParagraph"/>
        <w:numPr>
          <w:ilvl w:val="2"/>
          <w:numId w:val="30"/>
        </w:numPr>
        <w:tabs>
          <w:tab w:val="left" w:pos="90"/>
          <w:tab w:val="left" w:pos="180"/>
        </w:tabs>
        <w:ind w:left="360"/>
      </w:pPr>
      <w:r w:rsidRPr="00F43D40">
        <w:t>Ruan W, Feng F, Liu Z,</w:t>
      </w:r>
      <w:r>
        <w:t xml:space="preserve"> et al.  </w:t>
      </w:r>
      <w:r w:rsidRPr="00F43D40">
        <w:t>Comparison of percutaneous endoscopic lumbar discectomy versus open lumbar microdiscectomy for lumbar disc herniation: A meta-analysis.</w:t>
      </w:r>
      <w:r>
        <w:t xml:space="preserve">  </w:t>
      </w:r>
      <w:r w:rsidRPr="00F43D40">
        <w:t>Int J Surg. 2016 Jul;31:86-92.</w:t>
      </w:r>
    </w:p>
    <w:p w14:paraId="48959758" w14:textId="2E3C3BEC" w:rsidR="00D26F84" w:rsidRDefault="00D26F84" w:rsidP="00C81D6D">
      <w:pPr>
        <w:pStyle w:val="ListParagraph"/>
        <w:numPr>
          <w:ilvl w:val="2"/>
          <w:numId w:val="30"/>
        </w:numPr>
        <w:tabs>
          <w:tab w:val="left" w:pos="90"/>
          <w:tab w:val="left" w:pos="180"/>
        </w:tabs>
        <w:ind w:left="360"/>
      </w:pPr>
      <w:r>
        <w:t xml:space="preserve">Hayes Medical Technology Directory.  </w:t>
      </w:r>
      <w:r w:rsidRPr="00D26F84">
        <w:t>Percutaneous Laser Disc Decompression for Lumbar Disc Herniation</w:t>
      </w:r>
      <w:r w:rsidR="00776C45">
        <w:t xml:space="preserve">.  March 28, 2018.  </w:t>
      </w:r>
    </w:p>
    <w:p w14:paraId="6E4EA463" w14:textId="308B9A5E" w:rsidR="0011195E" w:rsidRPr="00963062" w:rsidRDefault="0011195E" w:rsidP="0042692D">
      <w:pPr>
        <w:pStyle w:val="ListParagraph"/>
        <w:ind w:left="360"/>
      </w:pPr>
    </w:p>
    <w:p w14:paraId="6CD07D4A" w14:textId="77777777" w:rsidR="00DD6ADB" w:rsidRPr="00DB7073" w:rsidRDefault="00C06257" w:rsidP="001E6E8B">
      <w:pPr>
        <w:rPr>
          <w:rFonts w:ascii="Times New Roman Bold" w:eastAsiaTheme="minorHAnsi" w:hAnsi="Times New Roman Bold"/>
          <w:b/>
          <w:sz w:val="22"/>
          <w:szCs w:val="22"/>
          <w:u w:val="single"/>
        </w:rPr>
      </w:pPr>
      <w:bookmarkStart w:id="3" w:name="Important_Reminder"/>
      <w:r>
        <w:rPr>
          <w:rFonts w:ascii="Times New Roman Bold" w:eastAsiaTheme="minorHAnsi" w:hAnsi="Times New Roman Bold"/>
          <w:b/>
          <w:bCs/>
          <w:sz w:val="22"/>
          <w:szCs w:val="22"/>
          <w:u w:val="single"/>
        </w:rPr>
        <w:t>Important R</w:t>
      </w:r>
      <w:r w:rsidR="005D7B81" w:rsidRPr="00DB7073">
        <w:rPr>
          <w:rFonts w:ascii="Times New Roman Bold" w:eastAsiaTheme="minorHAnsi" w:hAnsi="Times New Roman Bold"/>
          <w:b/>
          <w:bCs/>
          <w:sz w:val="22"/>
          <w:szCs w:val="22"/>
          <w:u w:val="single"/>
        </w:rPr>
        <w:t>eminder</w:t>
      </w:r>
      <w:bookmarkEnd w:id="3"/>
    </w:p>
    <w:p w14:paraId="156381F6" w14:textId="77777777" w:rsidR="00DD6ADB" w:rsidRPr="00DD6ADB" w:rsidRDefault="00DD6ADB" w:rsidP="00B24EDD">
      <w:pPr>
        <w:rPr>
          <w:rFonts w:eastAsiaTheme="minorHAnsi"/>
          <w:sz w:val="22"/>
          <w:szCs w:val="22"/>
        </w:rPr>
      </w:pPr>
      <w:r w:rsidRPr="00DD6ADB">
        <w:rPr>
          <w:rFonts w:eastAsiaTheme="minorHAnsi"/>
          <w:sz w:val="22"/>
          <w:szCs w:val="22"/>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DD6ADB">
        <w:rPr>
          <w:rFonts w:eastAsiaTheme="minorHAnsi"/>
          <w:iCs/>
          <w:sz w:val="22"/>
          <w:szCs w:val="22"/>
        </w:rPr>
        <w:t>The Health Plan</w:t>
      </w:r>
      <w:r w:rsidRPr="00DD6ADB">
        <w:rPr>
          <w:rFonts w:eastAsiaTheme="minorHAnsi"/>
          <w:sz w:val="22"/>
          <w:szCs w:val="22"/>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257D7A6F" w14:textId="77777777" w:rsidR="00DD6ADB" w:rsidRPr="00DD6ADB" w:rsidRDefault="00DD6ADB" w:rsidP="001E6E8B">
      <w:pPr>
        <w:rPr>
          <w:rFonts w:eastAsiaTheme="minorHAnsi"/>
          <w:sz w:val="22"/>
          <w:szCs w:val="22"/>
        </w:rPr>
      </w:pPr>
    </w:p>
    <w:p w14:paraId="59CEB36A" w14:textId="77777777" w:rsidR="00DD6ADB" w:rsidRPr="00DD6ADB" w:rsidRDefault="00DD6ADB" w:rsidP="00B24EDD">
      <w:pPr>
        <w:rPr>
          <w:rFonts w:eastAsiaTheme="minorHAnsi"/>
          <w:sz w:val="22"/>
          <w:szCs w:val="22"/>
        </w:rPr>
      </w:pPr>
      <w:r w:rsidRPr="00DD6ADB">
        <w:rPr>
          <w:rFonts w:eastAsiaTheme="minorHAnsi"/>
          <w:sz w:val="22"/>
          <w:szCs w:val="22"/>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69C5C119" w14:textId="77777777" w:rsidR="00DD6ADB" w:rsidRPr="00DD6ADB" w:rsidRDefault="00DD6ADB" w:rsidP="00B24EDD">
      <w:pPr>
        <w:rPr>
          <w:rFonts w:eastAsiaTheme="minorHAnsi"/>
          <w:sz w:val="22"/>
          <w:szCs w:val="22"/>
        </w:rPr>
      </w:pPr>
    </w:p>
    <w:p w14:paraId="628DC2E2" w14:textId="77777777" w:rsidR="00DD6ADB" w:rsidRPr="00DD6ADB" w:rsidRDefault="00DD6ADB" w:rsidP="00B24EDD">
      <w:pPr>
        <w:rPr>
          <w:color w:val="002868"/>
          <w:sz w:val="22"/>
          <w:szCs w:val="22"/>
        </w:rPr>
      </w:pPr>
      <w:r w:rsidRPr="00DD6ADB">
        <w:rPr>
          <w:rFonts w:eastAsiaTheme="minorHAnsi"/>
          <w:sz w:val="22"/>
          <w:szCs w:val="22"/>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737A3A08" w14:textId="77777777" w:rsidR="00DD6ADB" w:rsidRPr="00DD6ADB" w:rsidRDefault="00DD6ADB" w:rsidP="001E6E8B">
      <w:pPr>
        <w:rPr>
          <w:rFonts w:eastAsiaTheme="minorHAnsi"/>
          <w:sz w:val="22"/>
          <w:szCs w:val="22"/>
        </w:rPr>
      </w:pPr>
    </w:p>
    <w:p w14:paraId="33112E42" w14:textId="77777777" w:rsidR="00DD6ADB" w:rsidRPr="00DD6ADB" w:rsidRDefault="00DD6ADB" w:rsidP="00B24EDD">
      <w:pPr>
        <w:rPr>
          <w:rFonts w:eastAsiaTheme="minorHAnsi"/>
        </w:rPr>
      </w:pPr>
      <w:r w:rsidRPr="00DD6ADB">
        <w:rPr>
          <w:rFonts w:eastAsiaTheme="minorHAnsi"/>
          <w:sz w:val="22"/>
          <w:szCs w:val="22"/>
        </w:rPr>
        <w:t xml:space="preserve">This clinical policy does not constitute medical advice, medical treatment or medical care.  It is not intended to dictate to providers how to practice medicine. Providers are expected to exercise professional </w:t>
      </w:r>
      <w:r w:rsidRPr="00DD6ADB">
        <w:rPr>
          <w:rFonts w:eastAsiaTheme="minorHAnsi"/>
          <w:sz w:val="22"/>
          <w:szCs w:val="22"/>
        </w:rPr>
        <w:lastRenderedPageBreak/>
        <w:t xml:space="preserve">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35285C70" w14:textId="77777777" w:rsidR="00DD6ADB" w:rsidRPr="00DD6ADB" w:rsidRDefault="00DD6ADB" w:rsidP="00B24EDD">
      <w:pPr>
        <w:rPr>
          <w:rFonts w:eastAsiaTheme="minorHAnsi"/>
          <w:sz w:val="22"/>
          <w:szCs w:val="22"/>
        </w:rPr>
      </w:pPr>
    </w:p>
    <w:p w14:paraId="686F12F2" w14:textId="77777777" w:rsidR="00DD6ADB" w:rsidRPr="00DD6ADB" w:rsidRDefault="00DD6ADB" w:rsidP="00B24EDD">
      <w:pPr>
        <w:rPr>
          <w:rFonts w:eastAsiaTheme="minorHAnsi"/>
          <w:sz w:val="22"/>
          <w:szCs w:val="22"/>
        </w:rPr>
      </w:pPr>
      <w:r w:rsidRPr="00DD6ADB">
        <w:rPr>
          <w:rFonts w:eastAsiaTheme="minorHAnsi"/>
          <w:sz w:val="22"/>
          <w:szCs w:val="22"/>
        </w:rPr>
        <w:t>Providers referred to in this clinical policy are independent contractors who exercise independent judgment and over whom the Health Plan has no control or right of control.  Providers are not agents or employees of the Health Plan.</w:t>
      </w:r>
    </w:p>
    <w:p w14:paraId="0836BB17" w14:textId="77777777" w:rsidR="00DD6ADB" w:rsidRPr="00DD6ADB" w:rsidRDefault="00DD6ADB" w:rsidP="00B24EDD">
      <w:pPr>
        <w:rPr>
          <w:rFonts w:eastAsiaTheme="minorHAnsi"/>
          <w:sz w:val="22"/>
          <w:szCs w:val="22"/>
        </w:rPr>
      </w:pPr>
    </w:p>
    <w:p w14:paraId="36B4076C" w14:textId="77777777" w:rsidR="00DD6ADB" w:rsidRPr="00DD6ADB" w:rsidRDefault="00DD6ADB" w:rsidP="00B24EDD">
      <w:pPr>
        <w:rPr>
          <w:rFonts w:eastAsiaTheme="minorHAnsi"/>
          <w:sz w:val="22"/>
          <w:szCs w:val="22"/>
        </w:rPr>
      </w:pPr>
      <w:r w:rsidRPr="00DD6ADB">
        <w:rPr>
          <w:rFonts w:eastAsiaTheme="minorHAnsi"/>
          <w:sz w:val="22"/>
          <w:szCs w:val="22"/>
        </w:rPr>
        <w:t xml:space="preserve">This clinical policy is the property of </w:t>
      </w:r>
      <w:r w:rsidRPr="00DD6ADB">
        <w:rPr>
          <w:rFonts w:eastAsiaTheme="minorHAnsi"/>
          <w:iCs/>
          <w:sz w:val="22"/>
          <w:szCs w:val="22"/>
        </w:rPr>
        <w:t>the Health Plan</w:t>
      </w:r>
      <w:r w:rsidRPr="00DD6ADB">
        <w:rPr>
          <w:rFonts w:eastAsiaTheme="minorHAnsi"/>
          <w:sz w:val="22"/>
          <w:szCs w:val="22"/>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338D7833" w14:textId="77777777" w:rsidR="00DD6ADB" w:rsidRPr="00DD6ADB" w:rsidRDefault="00DD6ADB" w:rsidP="001E6E8B">
      <w:pPr>
        <w:autoSpaceDE w:val="0"/>
        <w:autoSpaceDN w:val="0"/>
        <w:adjustRightInd w:val="0"/>
        <w:rPr>
          <w:rFonts w:eastAsiaTheme="minorHAnsi"/>
          <w:color w:val="000000"/>
          <w:sz w:val="22"/>
          <w:szCs w:val="22"/>
        </w:rPr>
      </w:pPr>
    </w:p>
    <w:p w14:paraId="55491EAF" w14:textId="77777777" w:rsidR="00DD6ADB" w:rsidRPr="00DD6ADB" w:rsidRDefault="00DD6ADB" w:rsidP="00B24EDD">
      <w:pPr>
        <w:autoSpaceDE w:val="0"/>
        <w:autoSpaceDN w:val="0"/>
        <w:adjustRightInd w:val="0"/>
        <w:rPr>
          <w:rFonts w:eastAsiaTheme="minorHAnsi"/>
          <w:color w:val="000000"/>
          <w:sz w:val="22"/>
          <w:szCs w:val="22"/>
        </w:rPr>
      </w:pPr>
      <w:r w:rsidRPr="00DD6ADB">
        <w:rPr>
          <w:rFonts w:eastAsiaTheme="minorHAnsi"/>
          <w:b/>
          <w:color w:val="000000"/>
          <w:sz w:val="22"/>
          <w:szCs w:val="22"/>
        </w:rPr>
        <w:t>Note: For Medicaid members</w:t>
      </w:r>
      <w:r w:rsidRPr="00DD6ADB">
        <w:rPr>
          <w:rFonts w:eastAsiaTheme="minorHAnsi"/>
          <w:color w:val="000000"/>
          <w:sz w:val="22"/>
          <w:szCs w:val="22"/>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712AF776" w14:textId="77777777" w:rsidR="00DD6ADB" w:rsidRPr="00DD6ADB" w:rsidRDefault="00DD6ADB" w:rsidP="00DD6ADB">
      <w:pPr>
        <w:jc w:val="both"/>
        <w:rPr>
          <w:rFonts w:eastAsiaTheme="minorHAnsi"/>
          <w:sz w:val="22"/>
          <w:szCs w:val="22"/>
        </w:rPr>
      </w:pPr>
    </w:p>
    <w:p w14:paraId="18646C8B" w14:textId="715B2E4A" w:rsidR="00DD6ADB" w:rsidRPr="00DD6ADB" w:rsidRDefault="00DD6ADB" w:rsidP="00DD6ADB">
      <w:pPr>
        <w:autoSpaceDE w:val="0"/>
        <w:autoSpaceDN w:val="0"/>
        <w:adjustRightInd w:val="0"/>
        <w:rPr>
          <w:color w:val="000000"/>
          <w:sz w:val="22"/>
        </w:rPr>
      </w:pPr>
      <w:r w:rsidRPr="00DD6ADB">
        <w:rPr>
          <w:rFonts w:eastAsiaTheme="minorHAnsi"/>
          <w:b/>
          <w:bCs/>
          <w:color w:val="000000"/>
          <w:sz w:val="22"/>
          <w:szCs w:val="22"/>
        </w:rPr>
        <w:t xml:space="preserve">Note: For Medicare members, </w:t>
      </w:r>
      <w:r w:rsidRPr="00DD6ADB">
        <w:rPr>
          <w:rFonts w:eastAsiaTheme="minorHAnsi"/>
          <w:color w:val="000000"/>
          <w:sz w:val="22"/>
          <w:szCs w:val="22"/>
        </w:rPr>
        <w:t>to ensure consistency with the Medicare National Coverage Determinations (NCD) and Local Coverage Determinations (LCD), all applicable NCDs</w:t>
      </w:r>
      <w:r w:rsidR="0042692D">
        <w:rPr>
          <w:rFonts w:eastAsiaTheme="minorHAnsi"/>
          <w:color w:val="000000"/>
          <w:sz w:val="22"/>
          <w:szCs w:val="22"/>
        </w:rPr>
        <w:t xml:space="preserve">, </w:t>
      </w:r>
      <w:r w:rsidRPr="00DD6ADB">
        <w:rPr>
          <w:rFonts w:eastAsiaTheme="minorHAnsi"/>
          <w:color w:val="000000"/>
          <w:sz w:val="22"/>
          <w:szCs w:val="22"/>
        </w:rPr>
        <w:t xml:space="preserve">LCDs </w:t>
      </w:r>
      <w:r w:rsidR="004F08EA">
        <w:rPr>
          <w:rFonts w:eastAsiaTheme="minorHAnsi"/>
          <w:color w:val="000000"/>
          <w:sz w:val="22"/>
          <w:szCs w:val="22"/>
        </w:rPr>
        <w:t xml:space="preserve">and Medicare Coverage Articles </w:t>
      </w:r>
      <w:r w:rsidRPr="00DD6ADB">
        <w:rPr>
          <w:rFonts w:eastAsiaTheme="minorHAnsi"/>
          <w:color w:val="000000"/>
          <w:sz w:val="22"/>
          <w:szCs w:val="22"/>
        </w:rPr>
        <w:t xml:space="preserve">should be reviewed </w:t>
      </w:r>
      <w:r w:rsidRPr="00DD6ADB">
        <w:rPr>
          <w:rFonts w:eastAsiaTheme="minorHAnsi"/>
          <w:color w:val="000000"/>
          <w:sz w:val="22"/>
          <w:szCs w:val="22"/>
          <w:u w:val="single"/>
        </w:rPr>
        <w:t>prior to</w:t>
      </w:r>
      <w:r w:rsidRPr="00DD6ADB">
        <w:rPr>
          <w:rFonts w:eastAsiaTheme="minorHAnsi"/>
          <w:color w:val="000000"/>
          <w:sz w:val="22"/>
          <w:szCs w:val="22"/>
        </w:rPr>
        <w:t xml:space="preserve"> applying the criteria set forth in this clinical policy. Refer to the CMS website at </w:t>
      </w:r>
      <w:hyperlink r:id="rId15" w:history="1">
        <w:r w:rsidRPr="00DD6ADB">
          <w:rPr>
            <w:rFonts w:eastAsiaTheme="minorHAnsi"/>
            <w:color w:val="000000"/>
            <w:sz w:val="22"/>
            <w:szCs w:val="22"/>
            <w:u w:val="single"/>
          </w:rPr>
          <w:t>http://www.cms.gov</w:t>
        </w:r>
      </w:hyperlink>
      <w:r w:rsidRPr="00DD6ADB">
        <w:rPr>
          <w:rFonts w:eastAsiaTheme="minorHAnsi"/>
          <w:color w:val="000000"/>
          <w:sz w:val="22"/>
          <w:szCs w:val="22"/>
        </w:rPr>
        <w:t xml:space="preserve"> for additional information.</w:t>
      </w:r>
      <w:r w:rsidRPr="00DD6ADB">
        <w:rPr>
          <w:color w:val="000000"/>
          <w:sz w:val="22"/>
        </w:rPr>
        <w:t xml:space="preserve"> </w:t>
      </w:r>
    </w:p>
    <w:p w14:paraId="5FA4E1F1" w14:textId="77777777" w:rsidR="00875924" w:rsidRPr="00DD6ADB" w:rsidRDefault="00875924" w:rsidP="00C75BD4">
      <w:pPr>
        <w:jc w:val="both"/>
        <w:rPr>
          <w:iCs/>
        </w:rPr>
      </w:pPr>
    </w:p>
    <w:p w14:paraId="74ADB4A4" w14:textId="520BB46F" w:rsidR="00C75BD4" w:rsidRDefault="00C75BD4" w:rsidP="0042692D">
      <w:pPr>
        <w:jc w:val="both"/>
      </w:pPr>
      <w:r w:rsidRPr="00DB7073">
        <w:rPr>
          <w:iCs/>
          <w:sz w:val="22"/>
        </w:rPr>
        <w:t>©201</w:t>
      </w:r>
      <w:r w:rsidR="00493710" w:rsidRPr="00DB7073">
        <w:rPr>
          <w:iCs/>
          <w:sz w:val="22"/>
        </w:rPr>
        <w:t>6</w:t>
      </w:r>
      <w:r w:rsidRPr="00DD6ADB">
        <w:rPr>
          <w:iCs/>
          <w:sz w:val="22"/>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DD6ADB">
        <w:rPr>
          <w:iCs/>
          <w:sz w:val="22"/>
          <w:vertAlign w:val="superscript"/>
        </w:rPr>
        <w:t>®</w:t>
      </w:r>
      <w:r w:rsidRPr="00DD6ADB">
        <w:rPr>
          <w:iCs/>
          <w:sz w:val="22"/>
        </w:rPr>
        <w:t xml:space="preserve"> and Centene Corporation</w:t>
      </w:r>
      <w:r w:rsidRPr="00DD6ADB">
        <w:rPr>
          <w:iCs/>
          <w:sz w:val="22"/>
          <w:vertAlign w:val="superscript"/>
        </w:rPr>
        <w:t>®</w:t>
      </w:r>
      <w:r w:rsidRPr="00DD6ADB">
        <w:rPr>
          <w:iCs/>
          <w:sz w:val="22"/>
        </w:rPr>
        <w:t xml:space="preserve"> are registered trademarks exclusively owned by Centene Corporation.</w:t>
      </w:r>
    </w:p>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A530" w14:textId="77777777" w:rsidR="00BF4150" w:rsidRDefault="00BF4150">
      <w:r>
        <w:separator/>
      </w:r>
    </w:p>
  </w:endnote>
  <w:endnote w:type="continuationSeparator" w:id="0">
    <w:p w14:paraId="5DD947D2" w14:textId="77777777" w:rsidR="00BF4150" w:rsidRDefault="00BF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9FE7B" w14:textId="567ADFDA"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5A446F">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5A446F">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8ADF" w14:textId="6BDF9441" w:rsidR="002C6AAB" w:rsidRDefault="002C6AAB" w:rsidP="002C6AAB">
    <w:pPr>
      <w:pStyle w:val="Footer"/>
      <w:jc w:val="center"/>
    </w:pPr>
    <w:r>
      <w:t xml:space="preserve">Page </w:t>
    </w:r>
    <w:r>
      <w:fldChar w:fldCharType="begin"/>
    </w:r>
    <w:r>
      <w:instrText xml:space="preserve"> PAGE   \* MERGEFORMAT </w:instrText>
    </w:r>
    <w:r>
      <w:fldChar w:fldCharType="separate"/>
    </w:r>
    <w:r w:rsidR="005A446F">
      <w:rPr>
        <w:noProof/>
      </w:rPr>
      <w:t>1</w:t>
    </w:r>
    <w:r>
      <w:fldChar w:fldCharType="end"/>
    </w:r>
    <w:r>
      <w:t xml:space="preserve"> of </w:t>
    </w:r>
    <w:r w:rsidR="00E1329C">
      <w:rPr>
        <w:noProof/>
      </w:rPr>
      <w:fldChar w:fldCharType="begin"/>
    </w:r>
    <w:r w:rsidR="00E1329C">
      <w:rPr>
        <w:noProof/>
      </w:rPr>
      <w:instrText xml:space="preserve"> NUMPAGES   \* MERGEFORMAT </w:instrText>
    </w:r>
    <w:r w:rsidR="00E1329C">
      <w:rPr>
        <w:noProof/>
      </w:rPr>
      <w:fldChar w:fldCharType="separate"/>
    </w:r>
    <w:r w:rsidR="005A446F">
      <w:rPr>
        <w:noProof/>
      </w:rPr>
      <w:t>6</w:t>
    </w:r>
    <w:r w:rsidR="00E1329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6C919" w14:textId="77777777" w:rsidR="00BF4150" w:rsidRDefault="00BF4150">
      <w:r>
        <w:separator/>
      </w:r>
    </w:p>
  </w:footnote>
  <w:footnote w:type="continuationSeparator" w:id="0">
    <w:p w14:paraId="30EC4926" w14:textId="77777777" w:rsidR="00BF4150" w:rsidRDefault="00BF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4EF8"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738E0019" wp14:editId="29A6A8F5">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7562483F" w14:textId="51602621" w:rsidR="00DD025A" w:rsidRPr="00B777AF" w:rsidRDefault="00E64B9A" w:rsidP="00B777AF">
    <w:pPr>
      <w:rPr>
        <w:color w:val="00548C"/>
      </w:rPr>
    </w:pPr>
    <w:r>
      <w:rPr>
        <w:rFonts w:ascii="Times New Roman Bold" w:hAnsi="Times New Roman Bold"/>
        <w:b/>
        <w:bCs/>
        <w:color w:val="00548C"/>
      </w:rPr>
      <w:t>Disc Decompression Procedures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2C84" w14:textId="77777777" w:rsidR="009135E0" w:rsidRDefault="00A20F73" w:rsidP="00B777AF">
    <w:pPr>
      <w:pStyle w:val="Header"/>
      <w:jc w:val="right"/>
    </w:pPr>
    <w:r>
      <w:rPr>
        <w:noProof/>
      </w:rPr>
      <w:drawing>
        <wp:inline distT="0" distB="0" distL="0" distR="0" wp14:anchorId="79AC8BCD" wp14:editId="6B7C3EA4">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352"/>
    <w:multiLevelType w:val="hybridMultilevel"/>
    <w:tmpl w:val="5CB899F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948CC"/>
    <w:multiLevelType w:val="hybridMultilevel"/>
    <w:tmpl w:val="D6BEB9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16AE1"/>
    <w:multiLevelType w:val="hybridMultilevel"/>
    <w:tmpl w:val="4C2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D75E1"/>
    <w:multiLevelType w:val="hybridMultilevel"/>
    <w:tmpl w:val="1D20C32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63BB4"/>
    <w:multiLevelType w:val="hybridMultilevel"/>
    <w:tmpl w:val="31525F4A"/>
    <w:lvl w:ilvl="0" w:tplc="35345F72">
      <w:start w:val="1"/>
      <w:numFmt w:val="lowerRoman"/>
      <w:lvlText w:val="%1."/>
      <w:lvlJc w:val="left"/>
      <w:pPr>
        <w:ind w:left="1440" w:hanging="360"/>
      </w:pPr>
      <w:rPr>
        <w:rFonts w:hint="default"/>
      </w:rPr>
    </w:lvl>
    <w:lvl w:ilvl="1" w:tplc="35345F72">
      <w:start w:val="1"/>
      <w:numFmt w:val="lowerRoman"/>
      <w:lvlText w:val="%2."/>
      <w:lvlJc w:val="left"/>
      <w:pPr>
        <w:ind w:left="2160" w:hanging="360"/>
      </w:pPr>
      <w:rPr>
        <w:rFonts w:hint="default"/>
      </w:rPr>
    </w:lvl>
    <w:lvl w:ilvl="2" w:tplc="9BFA635E">
      <w:start w:val="1"/>
      <w:numFmt w:val="decimal"/>
      <w:lvlText w:val="%3."/>
      <w:lvlJc w:val="left"/>
      <w:pPr>
        <w:ind w:left="3060" w:hanging="360"/>
      </w:pPr>
      <w:rPr>
        <w:rFonts w:ascii="Verdana" w:hAnsi="Verdana" w:hint="default"/>
        <w:b w:val="0"/>
        <w:i w:val="0"/>
        <w:color w:val="auto"/>
        <w:sz w:val="2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CA322D"/>
    <w:multiLevelType w:val="hybridMultilevel"/>
    <w:tmpl w:val="5152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7AD33F8"/>
    <w:multiLevelType w:val="hybridMultilevel"/>
    <w:tmpl w:val="F8AA43E0"/>
    <w:lvl w:ilvl="0" w:tplc="56CC320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132AF"/>
    <w:multiLevelType w:val="hybridMultilevel"/>
    <w:tmpl w:val="1FB4A44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7EB5441"/>
    <w:multiLevelType w:val="hybridMultilevel"/>
    <w:tmpl w:val="EB06E67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D73A44"/>
    <w:multiLevelType w:val="hybridMultilevel"/>
    <w:tmpl w:val="E4482DDE"/>
    <w:lvl w:ilvl="0" w:tplc="35345F7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6A4F3D"/>
    <w:multiLevelType w:val="hybridMultilevel"/>
    <w:tmpl w:val="B790BC5A"/>
    <w:lvl w:ilvl="0" w:tplc="61B60C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BB4275"/>
    <w:multiLevelType w:val="hybridMultilevel"/>
    <w:tmpl w:val="5374003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2F3EF9"/>
    <w:multiLevelType w:val="hybridMultilevel"/>
    <w:tmpl w:val="15EC7EE8"/>
    <w:lvl w:ilvl="0" w:tplc="35345F72">
      <w:start w:val="1"/>
      <w:numFmt w:val="lowerRoman"/>
      <w:lvlText w:val="%1."/>
      <w:lvlJc w:val="left"/>
      <w:pPr>
        <w:ind w:left="1440" w:hanging="360"/>
      </w:pPr>
      <w:rPr>
        <w:rFonts w:hint="default"/>
      </w:rPr>
    </w:lvl>
    <w:lvl w:ilvl="1" w:tplc="35345F72">
      <w:start w:val="1"/>
      <w:numFmt w:val="lowerRoman"/>
      <w:lvlText w:val="%2."/>
      <w:lvlJc w:val="left"/>
      <w:pPr>
        <w:ind w:left="2160" w:hanging="360"/>
      </w:pPr>
      <w:rPr>
        <w:rFonts w:hint="default"/>
      </w:rPr>
    </w:lvl>
    <w:lvl w:ilvl="2" w:tplc="9BFA635E">
      <w:start w:val="1"/>
      <w:numFmt w:val="decimal"/>
      <w:lvlText w:val="%3."/>
      <w:lvlJc w:val="left"/>
      <w:pPr>
        <w:ind w:left="3060" w:hanging="360"/>
      </w:pPr>
      <w:rPr>
        <w:rFonts w:ascii="Verdana" w:hAnsi="Verdana" w:hint="default"/>
        <w:b w:val="0"/>
        <w:i w:val="0"/>
        <w:color w:val="auto"/>
        <w:sz w:val="2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1E3D0A"/>
    <w:multiLevelType w:val="hybridMultilevel"/>
    <w:tmpl w:val="7BEA1E96"/>
    <w:lvl w:ilvl="0" w:tplc="6BAC0802">
      <w:start w:val="1"/>
      <w:numFmt w:val="upperRoman"/>
      <w:lvlText w:val="%1."/>
      <w:lvlJc w:val="left"/>
      <w:pPr>
        <w:ind w:left="720" w:hanging="360"/>
      </w:pPr>
      <w:rPr>
        <w:rFonts w:hint="default"/>
        <w:b/>
        <w:i w:val="0"/>
      </w:rPr>
    </w:lvl>
    <w:lvl w:ilvl="1" w:tplc="A6385248">
      <w:start w:val="1"/>
      <w:numFmt w:val="upperLetter"/>
      <w:lvlText w:val="%2."/>
      <w:lvlJc w:val="left"/>
      <w:pPr>
        <w:ind w:left="360" w:hanging="360"/>
      </w:pPr>
      <w:rPr>
        <w:b/>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EC1F2A"/>
    <w:multiLevelType w:val="hybridMultilevel"/>
    <w:tmpl w:val="9BA23D56"/>
    <w:lvl w:ilvl="0" w:tplc="35345F72">
      <w:start w:val="1"/>
      <w:numFmt w:val="lowerRoman"/>
      <w:lvlText w:val="%1."/>
      <w:lvlJc w:val="left"/>
      <w:pPr>
        <w:ind w:left="1440" w:hanging="360"/>
      </w:pPr>
      <w:rPr>
        <w:rFonts w:hint="default"/>
      </w:rPr>
    </w:lvl>
    <w:lvl w:ilvl="1" w:tplc="35345F72">
      <w:start w:val="1"/>
      <w:numFmt w:val="lowerRoman"/>
      <w:lvlText w:val="%2."/>
      <w:lvlJc w:val="left"/>
      <w:pPr>
        <w:ind w:left="2160" w:hanging="360"/>
      </w:pPr>
      <w:rPr>
        <w:rFonts w:hint="default"/>
      </w:rPr>
    </w:lvl>
    <w:lvl w:ilvl="2" w:tplc="FBC2ED6E">
      <w:start w:val="1"/>
      <w:numFmt w:val="decimal"/>
      <w:lvlText w:val="%3."/>
      <w:lvlJc w:val="left"/>
      <w:pPr>
        <w:ind w:left="81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1"/>
  </w:num>
  <w:num w:numId="3">
    <w:abstractNumId w:val="10"/>
  </w:num>
  <w:num w:numId="4">
    <w:abstractNumId w:val="16"/>
  </w:num>
  <w:num w:numId="5">
    <w:abstractNumId w:val="18"/>
  </w:num>
  <w:num w:numId="6">
    <w:abstractNumId w:val="26"/>
  </w:num>
  <w:num w:numId="7">
    <w:abstractNumId w:val="27"/>
  </w:num>
  <w:num w:numId="8">
    <w:abstractNumId w:val="3"/>
  </w:num>
  <w:num w:numId="9">
    <w:abstractNumId w:val="23"/>
  </w:num>
  <w:num w:numId="10">
    <w:abstractNumId w:val="8"/>
  </w:num>
  <w:num w:numId="11">
    <w:abstractNumId w:val="31"/>
  </w:num>
  <w:num w:numId="12">
    <w:abstractNumId w:val="15"/>
  </w:num>
  <w:num w:numId="13">
    <w:abstractNumId w:val="12"/>
  </w:num>
  <w:num w:numId="14">
    <w:abstractNumId w:val="5"/>
  </w:num>
  <w:num w:numId="15">
    <w:abstractNumId w:val="9"/>
  </w:num>
  <w:num w:numId="16">
    <w:abstractNumId w:val="28"/>
  </w:num>
  <w:num w:numId="17">
    <w:abstractNumId w:val="24"/>
  </w:num>
  <w:num w:numId="18">
    <w:abstractNumId w:val="19"/>
  </w:num>
  <w:num w:numId="19">
    <w:abstractNumId w:val="7"/>
  </w:num>
  <w:num w:numId="20">
    <w:abstractNumId w:val="4"/>
  </w:num>
  <w:num w:numId="21">
    <w:abstractNumId w:val="2"/>
  </w:num>
  <w:num w:numId="22">
    <w:abstractNumId w:val="17"/>
  </w:num>
  <w:num w:numId="23">
    <w:abstractNumId w:val="6"/>
  </w:num>
  <w:num w:numId="24">
    <w:abstractNumId w:val="25"/>
  </w:num>
  <w:num w:numId="25">
    <w:abstractNumId w:val="29"/>
  </w:num>
  <w:num w:numId="26">
    <w:abstractNumId w:val="22"/>
  </w:num>
  <w:num w:numId="27">
    <w:abstractNumId w:val="21"/>
  </w:num>
  <w:num w:numId="28">
    <w:abstractNumId w:val="0"/>
  </w:num>
  <w:num w:numId="29">
    <w:abstractNumId w:val="20"/>
  </w:num>
  <w:num w:numId="30">
    <w:abstractNumId w:val="33"/>
  </w:num>
  <w:num w:numId="31">
    <w:abstractNumId w:val="11"/>
  </w:num>
  <w:num w:numId="32">
    <w:abstractNumId w:val="30"/>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14D76"/>
    <w:rsid w:val="00032D3F"/>
    <w:rsid w:val="000465DE"/>
    <w:rsid w:val="0004733E"/>
    <w:rsid w:val="00060509"/>
    <w:rsid w:val="00083740"/>
    <w:rsid w:val="0008438F"/>
    <w:rsid w:val="00087E00"/>
    <w:rsid w:val="00094136"/>
    <w:rsid w:val="000B30D4"/>
    <w:rsid w:val="000B7BCE"/>
    <w:rsid w:val="000F10C2"/>
    <w:rsid w:val="0011195E"/>
    <w:rsid w:val="001148A8"/>
    <w:rsid w:val="0012474F"/>
    <w:rsid w:val="00131CCB"/>
    <w:rsid w:val="00136536"/>
    <w:rsid w:val="0014316D"/>
    <w:rsid w:val="001564F1"/>
    <w:rsid w:val="00170B14"/>
    <w:rsid w:val="001736BA"/>
    <w:rsid w:val="00176FE1"/>
    <w:rsid w:val="001818D7"/>
    <w:rsid w:val="00185104"/>
    <w:rsid w:val="001962BE"/>
    <w:rsid w:val="00196689"/>
    <w:rsid w:val="00196935"/>
    <w:rsid w:val="00196FA0"/>
    <w:rsid w:val="0019746F"/>
    <w:rsid w:val="001C640D"/>
    <w:rsid w:val="001D0D34"/>
    <w:rsid w:val="001D2843"/>
    <w:rsid w:val="001D70D4"/>
    <w:rsid w:val="001E6E8B"/>
    <w:rsid w:val="001E7D12"/>
    <w:rsid w:val="0020675F"/>
    <w:rsid w:val="00220736"/>
    <w:rsid w:val="00230FE4"/>
    <w:rsid w:val="00233651"/>
    <w:rsid w:val="00251322"/>
    <w:rsid w:val="00254020"/>
    <w:rsid w:val="0025452A"/>
    <w:rsid w:val="0025711E"/>
    <w:rsid w:val="00264817"/>
    <w:rsid w:val="00267F29"/>
    <w:rsid w:val="00285997"/>
    <w:rsid w:val="002911FC"/>
    <w:rsid w:val="002A39EE"/>
    <w:rsid w:val="002B0582"/>
    <w:rsid w:val="002B6E03"/>
    <w:rsid w:val="002C6AAB"/>
    <w:rsid w:val="002D019A"/>
    <w:rsid w:val="002D0ACD"/>
    <w:rsid w:val="002E48E7"/>
    <w:rsid w:val="002F1A2C"/>
    <w:rsid w:val="003041C9"/>
    <w:rsid w:val="003123BF"/>
    <w:rsid w:val="003140D6"/>
    <w:rsid w:val="00314703"/>
    <w:rsid w:val="00336E37"/>
    <w:rsid w:val="00350F22"/>
    <w:rsid w:val="003569CE"/>
    <w:rsid w:val="00362A38"/>
    <w:rsid w:val="003840CC"/>
    <w:rsid w:val="00391F89"/>
    <w:rsid w:val="003A5E9B"/>
    <w:rsid w:val="003D25B7"/>
    <w:rsid w:val="003D7BE7"/>
    <w:rsid w:val="003F3D44"/>
    <w:rsid w:val="0042692D"/>
    <w:rsid w:val="00435FFA"/>
    <w:rsid w:val="00461E3C"/>
    <w:rsid w:val="00472C6C"/>
    <w:rsid w:val="00472DD7"/>
    <w:rsid w:val="004751BC"/>
    <w:rsid w:val="00480C09"/>
    <w:rsid w:val="00493710"/>
    <w:rsid w:val="00496BCF"/>
    <w:rsid w:val="00497AED"/>
    <w:rsid w:val="004D057A"/>
    <w:rsid w:val="004E0B99"/>
    <w:rsid w:val="004F08EA"/>
    <w:rsid w:val="004F5899"/>
    <w:rsid w:val="004F6394"/>
    <w:rsid w:val="00505830"/>
    <w:rsid w:val="005103B8"/>
    <w:rsid w:val="00515341"/>
    <w:rsid w:val="0052080A"/>
    <w:rsid w:val="00522E5E"/>
    <w:rsid w:val="00534CD9"/>
    <w:rsid w:val="005423D4"/>
    <w:rsid w:val="005537B0"/>
    <w:rsid w:val="00556D0C"/>
    <w:rsid w:val="00560030"/>
    <w:rsid w:val="00563D51"/>
    <w:rsid w:val="00575494"/>
    <w:rsid w:val="005776FD"/>
    <w:rsid w:val="00583376"/>
    <w:rsid w:val="0059028D"/>
    <w:rsid w:val="0059126A"/>
    <w:rsid w:val="005A446F"/>
    <w:rsid w:val="005C17DF"/>
    <w:rsid w:val="005C3607"/>
    <w:rsid w:val="005D009F"/>
    <w:rsid w:val="005D5146"/>
    <w:rsid w:val="005D7B81"/>
    <w:rsid w:val="005E411E"/>
    <w:rsid w:val="00602F30"/>
    <w:rsid w:val="006072CC"/>
    <w:rsid w:val="00617A71"/>
    <w:rsid w:val="006474BB"/>
    <w:rsid w:val="006664E9"/>
    <w:rsid w:val="00686BC8"/>
    <w:rsid w:val="006B2CCA"/>
    <w:rsid w:val="006B44E9"/>
    <w:rsid w:val="006C74DF"/>
    <w:rsid w:val="006E38B6"/>
    <w:rsid w:val="006E6FF7"/>
    <w:rsid w:val="006F4D70"/>
    <w:rsid w:val="00701C5E"/>
    <w:rsid w:val="00701F61"/>
    <w:rsid w:val="00744250"/>
    <w:rsid w:val="007537A4"/>
    <w:rsid w:val="007764CE"/>
    <w:rsid w:val="00776C45"/>
    <w:rsid w:val="00790838"/>
    <w:rsid w:val="007A0BCC"/>
    <w:rsid w:val="007B07AE"/>
    <w:rsid w:val="007B50D0"/>
    <w:rsid w:val="007C138D"/>
    <w:rsid w:val="007D4801"/>
    <w:rsid w:val="007F14FD"/>
    <w:rsid w:val="007F1F19"/>
    <w:rsid w:val="007F218E"/>
    <w:rsid w:val="007F5C32"/>
    <w:rsid w:val="0080352E"/>
    <w:rsid w:val="008521FD"/>
    <w:rsid w:val="00857C10"/>
    <w:rsid w:val="00860DD7"/>
    <w:rsid w:val="00875924"/>
    <w:rsid w:val="00877EC7"/>
    <w:rsid w:val="008950EA"/>
    <w:rsid w:val="00896E94"/>
    <w:rsid w:val="008B0705"/>
    <w:rsid w:val="008B2F88"/>
    <w:rsid w:val="008C6B3A"/>
    <w:rsid w:val="008D6C48"/>
    <w:rsid w:val="008F6E2E"/>
    <w:rsid w:val="008F76BA"/>
    <w:rsid w:val="00902C9B"/>
    <w:rsid w:val="009135E0"/>
    <w:rsid w:val="00915CA4"/>
    <w:rsid w:val="009167D7"/>
    <w:rsid w:val="00927A57"/>
    <w:rsid w:val="009366BA"/>
    <w:rsid w:val="00950820"/>
    <w:rsid w:val="00961071"/>
    <w:rsid w:val="00963062"/>
    <w:rsid w:val="009735FA"/>
    <w:rsid w:val="00977ECA"/>
    <w:rsid w:val="00982180"/>
    <w:rsid w:val="009928B2"/>
    <w:rsid w:val="009A6B05"/>
    <w:rsid w:val="009C61B2"/>
    <w:rsid w:val="009D5928"/>
    <w:rsid w:val="009D5A9C"/>
    <w:rsid w:val="009D7C5A"/>
    <w:rsid w:val="009E0700"/>
    <w:rsid w:val="009E6F29"/>
    <w:rsid w:val="009F1CC9"/>
    <w:rsid w:val="009F36D9"/>
    <w:rsid w:val="009F6D8B"/>
    <w:rsid w:val="00A20F73"/>
    <w:rsid w:val="00A35582"/>
    <w:rsid w:val="00A41969"/>
    <w:rsid w:val="00A60413"/>
    <w:rsid w:val="00A747B6"/>
    <w:rsid w:val="00A8000D"/>
    <w:rsid w:val="00A82EA0"/>
    <w:rsid w:val="00A83658"/>
    <w:rsid w:val="00A8369C"/>
    <w:rsid w:val="00A83C06"/>
    <w:rsid w:val="00A85489"/>
    <w:rsid w:val="00A861E9"/>
    <w:rsid w:val="00A87B1F"/>
    <w:rsid w:val="00AA336E"/>
    <w:rsid w:val="00AA428E"/>
    <w:rsid w:val="00AB4083"/>
    <w:rsid w:val="00AC0B37"/>
    <w:rsid w:val="00AD1AA6"/>
    <w:rsid w:val="00AF1F2A"/>
    <w:rsid w:val="00AF30EF"/>
    <w:rsid w:val="00AF5223"/>
    <w:rsid w:val="00AF5490"/>
    <w:rsid w:val="00B24EDD"/>
    <w:rsid w:val="00B4250A"/>
    <w:rsid w:val="00B4633B"/>
    <w:rsid w:val="00B777AF"/>
    <w:rsid w:val="00B81789"/>
    <w:rsid w:val="00B92DF1"/>
    <w:rsid w:val="00B9364E"/>
    <w:rsid w:val="00BB6A26"/>
    <w:rsid w:val="00BC4D5E"/>
    <w:rsid w:val="00BE1EB9"/>
    <w:rsid w:val="00BF4150"/>
    <w:rsid w:val="00C01AA6"/>
    <w:rsid w:val="00C06257"/>
    <w:rsid w:val="00C079B0"/>
    <w:rsid w:val="00C14250"/>
    <w:rsid w:val="00C2297C"/>
    <w:rsid w:val="00C51018"/>
    <w:rsid w:val="00C64BB4"/>
    <w:rsid w:val="00C73CF5"/>
    <w:rsid w:val="00C75BD4"/>
    <w:rsid w:val="00C81D6D"/>
    <w:rsid w:val="00C93EA9"/>
    <w:rsid w:val="00C96847"/>
    <w:rsid w:val="00CA53B9"/>
    <w:rsid w:val="00CA5C08"/>
    <w:rsid w:val="00CD6388"/>
    <w:rsid w:val="00CF2624"/>
    <w:rsid w:val="00D04534"/>
    <w:rsid w:val="00D14867"/>
    <w:rsid w:val="00D22C13"/>
    <w:rsid w:val="00D26F84"/>
    <w:rsid w:val="00D36448"/>
    <w:rsid w:val="00D574CA"/>
    <w:rsid w:val="00D62164"/>
    <w:rsid w:val="00D71BC4"/>
    <w:rsid w:val="00D743E2"/>
    <w:rsid w:val="00D970FA"/>
    <w:rsid w:val="00DB1DE9"/>
    <w:rsid w:val="00DB7073"/>
    <w:rsid w:val="00DD025A"/>
    <w:rsid w:val="00DD6ADB"/>
    <w:rsid w:val="00DD7D7A"/>
    <w:rsid w:val="00DE18E2"/>
    <w:rsid w:val="00DF749F"/>
    <w:rsid w:val="00E06818"/>
    <w:rsid w:val="00E12B6B"/>
    <w:rsid w:val="00E1329C"/>
    <w:rsid w:val="00E32DA0"/>
    <w:rsid w:val="00E45431"/>
    <w:rsid w:val="00E45ABC"/>
    <w:rsid w:val="00E64B9A"/>
    <w:rsid w:val="00E97C17"/>
    <w:rsid w:val="00EA3809"/>
    <w:rsid w:val="00EC7B9A"/>
    <w:rsid w:val="00ED0A0D"/>
    <w:rsid w:val="00EE2032"/>
    <w:rsid w:val="00EF4911"/>
    <w:rsid w:val="00F03DC0"/>
    <w:rsid w:val="00F10CF3"/>
    <w:rsid w:val="00F2705D"/>
    <w:rsid w:val="00F422E1"/>
    <w:rsid w:val="00F43D40"/>
    <w:rsid w:val="00F67BBD"/>
    <w:rsid w:val="00F71F8E"/>
    <w:rsid w:val="00F74762"/>
    <w:rsid w:val="00F86A54"/>
    <w:rsid w:val="00F95133"/>
    <w:rsid w:val="00FA2EEB"/>
    <w:rsid w:val="00FB0592"/>
    <w:rsid w:val="00FB139B"/>
    <w:rsid w:val="00FE1B09"/>
    <w:rsid w:val="00FE22C7"/>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A1E749C"/>
  <w15:docId w15:val="{576FEBFE-0C8C-4628-8274-C74B01E3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customStyle="1" w:styleId="Default">
    <w:name w:val="Default"/>
    <w:rsid w:val="00472DD7"/>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9A6B05"/>
    <w:pPr>
      <w:ind w:left="720"/>
      <w:contextualSpacing/>
    </w:pPr>
  </w:style>
  <w:style w:type="paragraph" w:styleId="Revision">
    <w:name w:val="Revision"/>
    <w:hidden/>
    <w:uiPriority w:val="99"/>
    <w:semiHidden/>
    <w:rsid w:val="008D6C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m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1C3F-5F8D-4AEC-8920-A1E69574F64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8B26640-0ECE-440A-96AE-6A1243E9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D26FA7-2FEE-4BD8-ACA9-9F2D61C407BB}">
  <ds:schemaRefs>
    <ds:schemaRef ds:uri="http://schemas.microsoft.com/sharepoint/v3/contenttype/forms"/>
  </ds:schemaRefs>
</ds:datastoreItem>
</file>

<file path=customXml/itemProps4.xml><?xml version="1.0" encoding="utf-8"?>
<ds:datastoreItem xmlns:ds="http://schemas.openxmlformats.org/officeDocument/2006/customXml" ds:itemID="{F08FCAFC-51F8-46F8-B300-2013785C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2481</Words>
  <Characters>14145</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2019-04-09T14:19:00Z</cp:lastPrinted>
  <dcterms:created xsi:type="dcterms:W3CDTF">2019-06-12T19:48:00Z</dcterms:created>
  <dcterms:modified xsi:type="dcterms:W3CDTF">2019-06-12T19:48:00Z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-2088553491</vt:i4>
  </property>
</Properties>
</file>