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C7572" w14:textId="77777777" w:rsidR="00D6529A" w:rsidRPr="00B777AF" w:rsidRDefault="00D6529A" w:rsidP="00D574CA">
      <w:pPr>
        <w:pStyle w:val="PolicyMainHead"/>
        <w:tabs>
          <w:tab w:val="left" w:pos="360"/>
        </w:tabs>
        <w:spacing w:after="0" w:line="240" w:lineRule="auto"/>
        <w:rPr>
          <w:rFonts w:ascii="Times New Roman" w:hAnsi="Times New Roman"/>
          <w:color w:val="00548C"/>
          <w:sz w:val="36"/>
        </w:rPr>
      </w:pPr>
      <w:r>
        <w:rPr>
          <w:rFonts w:ascii="Times New Roman" w:hAnsi="Times New Roman"/>
          <w:color w:val="00548C"/>
          <w:sz w:val="36"/>
        </w:rPr>
        <w:t>Clinical Policy: Acupuncture</w:t>
      </w:r>
    </w:p>
    <w:p w14:paraId="27CFA224" w14:textId="77777777" w:rsidR="00D6529A" w:rsidRDefault="00D6529A" w:rsidP="00D574CA">
      <w:pPr>
        <w:pStyle w:val="PolicyMainHead"/>
        <w:tabs>
          <w:tab w:val="left" w:pos="360"/>
        </w:tabs>
        <w:spacing w:after="0" w:line="240" w:lineRule="auto"/>
        <w:rPr>
          <w:color w:val="00548C"/>
          <w:sz w:val="24"/>
        </w:rPr>
        <w:sectPr w:rsidR="00D6529A" w:rsidSect="00B777AF">
          <w:headerReference w:type="default" r:id="rId11"/>
          <w:footerReference w:type="default" r:id="rId12"/>
          <w:headerReference w:type="first" r:id="rId13"/>
          <w:footerReference w:type="first" r:id="rId14"/>
          <w:pgSz w:w="12240" w:h="15840" w:code="1"/>
          <w:pgMar w:top="1440" w:right="907" w:bottom="1152" w:left="1440" w:header="576" w:footer="288" w:gutter="0"/>
          <w:cols w:space="720"/>
          <w:titlePg/>
          <w:docGrid w:linePitch="360"/>
        </w:sectPr>
      </w:pPr>
    </w:p>
    <w:p w14:paraId="638C1638" w14:textId="77777777" w:rsidR="00DE466A" w:rsidRPr="003D7BE7" w:rsidRDefault="00D6529A" w:rsidP="00DE466A">
      <w:pPr>
        <w:pStyle w:val="PolicyMainHead"/>
        <w:tabs>
          <w:tab w:val="left" w:pos="360"/>
        </w:tabs>
        <w:spacing w:after="0" w:line="240" w:lineRule="auto"/>
        <w:rPr>
          <w:rFonts w:ascii="Times New Roman" w:hAnsi="Times New Roman"/>
          <w:color w:val="00548C"/>
          <w:sz w:val="24"/>
          <w:szCs w:val="24"/>
        </w:rPr>
        <w:sectPr w:rsidR="00DE466A"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MP.92</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DE466A">
        <w:rPr>
          <w:rFonts w:ascii="Times New Roman" w:hAnsi="Times New Roman"/>
          <w:color w:val="00548C"/>
          <w:sz w:val="24"/>
          <w:szCs w:val="24"/>
        </w:rPr>
        <w:t xml:space="preserve">     </w:t>
      </w:r>
      <w:hyperlink w:anchor="Coding_Implications" w:history="1">
        <w:r w:rsidR="00DE466A" w:rsidRPr="00875924">
          <w:rPr>
            <w:rStyle w:val="Hyperlink"/>
            <w:rFonts w:ascii="Times New Roman" w:hAnsi="Times New Roman"/>
            <w:sz w:val="24"/>
            <w:szCs w:val="24"/>
          </w:rPr>
          <w:t>Coding Implications</w:t>
        </w:r>
      </w:hyperlink>
      <w:r w:rsidR="00DE466A" w:rsidRPr="003D7BE7">
        <w:rPr>
          <w:rFonts w:ascii="Times New Roman" w:hAnsi="Times New Roman"/>
          <w:color w:val="00548C"/>
          <w:sz w:val="24"/>
          <w:szCs w:val="24"/>
        </w:rPr>
        <w:t xml:space="preserve"> </w:t>
      </w:r>
    </w:p>
    <w:p w14:paraId="103D45B4" w14:textId="79F6AE5A" w:rsidR="00DE466A" w:rsidRDefault="00DE466A" w:rsidP="00DE466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4F66BE">
        <w:rPr>
          <w:rFonts w:ascii="Times New Roman" w:hAnsi="Times New Roman"/>
          <w:color w:val="00548C"/>
          <w:sz w:val="24"/>
          <w:szCs w:val="24"/>
        </w:rPr>
        <w:t>09/1</w:t>
      </w:r>
      <w:r w:rsidR="00C0526E">
        <w:rPr>
          <w:rFonts w:ascii="Times New Roman" w:hAnsi="Times New Roman"/>
          <w:color w:val="00548C"/>
          <w:sz w:val="24"/>
          <w:szCs w:val="24"/>
        </w:rPr>
        <w:t>9</w:t>
      </w:r>
    </w:p>
    <w:p w14:paraId="19A7B853" w14:textId="77777777" w:rsidR="00DE466A" w:rsidRDefault="008E63B6" w:rsidP="00DE466A">
      <w:pPr>
        <w:pStyle w:val="PolicyMainHead"/>
        <w:tabs>
          <w:tab w:val="left" w:pos="360"/>
        </w:tabs>
        <w:spacing w:after="0" w:line="240" w:lineRule="auto"/>
        <w:jc w:val="right"/>
        <w:rPr>
          <w:rStyle w:val="Strong"/>
          <w:rFonts w:ascii="Times New Roman" w:hAnsi="Times New Roman"/>
          <w:b w:val="0"/>
          <w:u w:val="single"/>
        </w:rPr>
        <w:sectPr w:rsidR="00DE466A" w:rsidSect="00875924">
          <w:type w:val="continuous"/>
          <w:pgSz w:w="12240" w:h="15840" w:code="1"/>
          <w:pgMar w:top="1440" w:right="1170" w:bottom="1440" w:left="1440" w:header="576" w:footer="288" w:gutter="0"/>
          <w:cols w:num="2" w:space="720"/>
          <w:titlePg/>
          <w:docGrid w:linePitch="360"/>
        </w:sectPr>
      </w:pPr>
      <w:hyperlink w:anchor="Revision_Log" w:history="1">
        <w:r w:rsidR="00DE466A" w:rsidRPr="003D7BE7">
          <w:rPr>
            <w:rStyle w:val="Hyperlink"/>
            <w:rFonts w:ascii="Times New Roman" w:hAnsi="Times New Roman"/>
            <w:sz w:val="24"/>
            <w:szCs w:val="24"/>
          </w:rPr>
          <w:t>Revision Log</w:t>
        </w:r>
      </w:hyperlink>
    </w:p>
    <w:p w14:paraId="525708E4" w14:textId="77777777" w:rsidR="00D6529A" w:rsidRPr="003D7BE7" w:rsidRDefault="00D6529A" w:rsidP="00DE466A">
      <w:pPr>
        <w:pStyle w:val="PolicyMainHead"/>
        <w:spacing w:after="0" w:line="240" w:lineRule="auto"/>
        <w:rPr>
          <w:rFonts w:ascii="Times New Roman" w:hAnsi="Times New Roman"/>
          <w:color w:val="00548C"/>
          <w:sz w:val="24"/>
          <w:szCs w:val="24"/>
        </w:rPr>
        <w:sectPr w:rsidR="00D6529A" w:rsidRPr="003D7BE7" w:rsidSect="00480C09">
          <w:type w:val="continuous"/>
          <w:pgSz w:w="12240" w:h="15840" w:code="1"/>
          <w:pgMar w:top="1440" w:right="1080" w:bottom="1440" w:left="1080" w:header="576" w:footer="288" w:gutter="0"/>
          <w:cols w:num="2" w:space="720"/>
          <w:titlePg/>
          <w:docGrid w:linePitch="360"/>
        </w:sectPr>
      </w:pPr>
    </w:p>
    <w:p w14:paraId="6FFCEA44" w14:textId="77777777" w:rsidR="00847956" w:rsidRPr="005D7B81" w:rsidRDefault="00847956" w:rsidP="00847956">
      <w:pPr>
        <w:pStyle w:val="NormalWeb"/>
        <w:spacing w:before="0" w:beforeAutospacing="0" w:after="0" w:afterAutospacing="0"/>
        <w:rPr>
          <w:rStyle w:val="Strong"/>
          <w:rFonts w:ascii="Times New Roman" w:hAnsi="Times New Roman"/>
          <w:b w:val="0"/>
          <w:bCs/>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4B431EE" w14:textId="77777777" w:rsidR="00847956" w:rsidRDefault="00847956">
      <w:pPr>
        <w:pStyle w:val="Heading2"/>
        <w:rPr>
          <w:u w:val="none"/>
        </w:rPr>
      </w:pPr>
    </w:p>
    <w:p w14:paraId="1FEC61C9" w14:textId="77777777" w:rsidR="00D6529A" w:rsidRPr="006D4BAF" w:rsidRDefault="00D6529A" w:rsidP="006D4BAF">
      <w:pPr>
        <w:pStyle w:val="Heading1"/>
        <w:rPr>
          <w:sz w:val="24"/>
        </w:rPr>
      </w:pPr>
      <w:r w:rsidRPr="006D4BAF">
        <w:rPr>
          <w:sz w:val="24"/>
        </w:rPr>
        <w:t xml:space="preserve">Description </w:t>
      </w:r>
    </w:p>
    <w:p w14:paraId="4A702C31" w14:textId="77777777" w:rsidR="00D6529A" w:rsidRDefault="00D6529A" w:rsidP="00196935">
      <w:r>
        <w:t xml:space="preserve">Acupuncture involves the manual and/or electrical stimulation of thin, solid, metallic needles inserted into the skin.  Acupuncture has been studied for the treatment of many conditions, but some of the more common and studied indications include pain, nausea and vomiting, hypertension, chronic obstructive pulmonary disease, allergic rhinitis and addictive behavior.  </w:t>
      </w:r>
    </w:p>
    <w:p w14:paraId="4C5C3B47" w14:textId="77777777" w:rsidR="00D6529A" w:rsidRPr="00B777AF" w:rsidRDefault="00D6529A" w:rsidP="00196935"/>
    <w:p w14:paraId="095AE6B7" w14:textId="77777777" w:rsidR="00D6529A" w:rsidRPr="0014410B" w:rsidRDefault="00D6529A">
      <w:pPr>
        <w:pStyle w:val="Heading2"/>
        <w:rPr>
          <w:u w:val="none"/>
        </w:rPr>
      </w:pPr>
      <w:r w:rsidRPr="00B777AF">
        <w:rPr>
          <w:u w:val="none"/>
        </w:rPr>
        <w:t>Policy/Criteria</w:t>
      </w:r>
    </w:p>
    <w:p w14:paraId="7F51BEBD" w14:textId="77777777" w:rsidR="00D6529A" w:rsidRPr="0014410B" w:rsidRDefault="00D6529A" w:rsidP="00855E37">
      <w:pPr>
        <w:numPr>
          <w:ilvl w:val="0"/>
          <w:numId w:val="22"/>
        </w:numPr>
        <w:ind w:left="360"/>
        <w:rPr>
          <w:color w:val="FF0000"/>
        </w:rPr>
      </w:pPr>
      <w:r w:rsidRPr="00855E37">
        <w:rPr>
          <w:bCs/>
          <w:color w:val="000000"/>
        </w:rPr>
        <w:t>It is the policy of health plans affiliated with Centene Corporation</w:t>
      </w:r>
      <w:r w:rsidRPr="00855E37">
        <w:rPr>
          <w:bCs/>
          <w:color w:val="000000"/>
          <w:vertAlign w:val="superscript"/>
        </w:rPr>
        <w:t>®</w:t>
      </w:r>
      <w:r w:rsidRPr="00855E37">
        <w:rPr>
          <w:bCs/>
          <w:color w:val="000000"/>
        </w:rPr>
        <w:t xml:space="preserve"> that, when a covered benefit under the member’s benefit plan contract, needle acupuncture is </w:t>
      </w:r>
      <w:r w:rsidRPr="00855E37">
        <w:rPr>
          <w:b/>
          <w:bCs/>
          <w:color w:val="000000"/>
        </w:rPr>
        <w:t>medically necessary</w:t>
      </w:r>
      <w:r w:rsidRPr="00855E37">
        <w:rPr>
          <w:bCs/>
          <w:color w:val="000000"/>
        </w:rPr>
        <w:t xml:space="preserve"> </w:t>
      </w:r>
      <w:r>
        <w:rPr>
          <w:bCs/>
          <w:color w:val="000000"/>
        </w:rPr>
        <w:t xml:space="preserve">when </w:t>
      </w:r>
      <w:r w:rsidRPr="000B125A">
        <w:t>provided by a licensed acupuncturist or other appropriately licensed practitioner for whom acupuncture is within the practitioner’s scope of practice and who has specific acupuncture training or credentialing</w:t>
      </w:r>
      <w:r>
        <w:rPr>
          <w:color w:val="231F20"/>
        </w:rPr>
        <w:t xml:space="preserve"> and</w:t>
      </w:r>
      <w:r w:rsidRPr="00855E37">
        <w:rPr>
          <w:color w:val="231F20"/>
        </w:rPr>
        <w:t xml:space="preserve"> </w:t>
      </w:r>
      <w:r w:rsidRPr="00855E37">
        <w:rPr>
          <w:i/>
          <w:color w:val="231F20"/>
        </w:rPr>
        <w:t>any of the following</w:t>
      </w:r>
      <w:r w:rsidRPr="00855E37">
        <w:rPr>
          <w:color w:val="231F20"/>
        </w:rPr>
        <w:t xml:space="preserve"> conditions:</w:t>
      </w:r>
      <w:r>
        <w:rPr>
          <w:color w:val="231F20"/>
        </w:rPr>
        <w:t xml:space="preserve"> </w:t>
      </w:r>
    </w:p>
    <w:p w14:paraId="7E0F44B4" w14:textId="77777777" w:rsidR="00D6529A" w:rsidRPr="00375F01" w:rsidRDefault="00D6529A" w:rsidP="00855E37">
      <w:pPr>
        <w:numPr>
          <w:ilvl w:val="0"/>
          <w:numId w:val="21"/>
        </w:numPr>
        <w:tabs>
          <w:tab w:val="clear" w:pos="720"/>
        </w:tabs>
        <w:rPr>
          <w:color w:val="FF0000"/>
        </w:rPr>
      </w:pPr>
      <w:r w:rsidRPr="0097482F">
        <w:t xml:space="preserve">Postoperative </w:t>
      </w:r>
      <w:r>
        <w:t xml:space="preserve">or chemotherapy induced </w:t>
      </w:r>
      <w:r w:rsidRPr="0097482F">
        <w:t>nausea and vomiting</w:t>
      </w:r>
      <w:r>
        <w:t xml:space="preserve">; </w:t>
      </w:r>
    </w:p>
    <w:p w14:paraId="2ACBAAE6" w14:textId="77777777" w:rsidR="00D6529A" w:rsidRPr="0097482F" w:rsidRDefault="00D6529A" w:rsidP="00855E37">
      <w:pPr>
        <w:numPr>
          <w:ilvl w:val="0"/>
          <w:numId w:val="21"/>
        </w:numPr>
        <w:tabs>
          <w:tab w:val="clear" w:pos="720"/>
        </w:tabs>
      </w:pPr>
      <w:r>
        <w:t xml:space="preserve">Nausea and vomiting of pregnancy; </w:t>
      </w:r>
    </w:p>
    <w:p w14:paraId="6267F69F" w14:textId="77777777" w:rsidR="00D6529A" w:rsidRPr="005962E4" w:rsidRDefault="00D6529A" w:rsidP="00855E37">
      <w:pPr>
        <w:numPr>
          <w:ilvl w:val="0"/>
          <w:numId w:val="21"/>
        </w:numPr>
        <w:tabs>
          <w:tab w:val="clear" w:pos="720"/>
        </w:tabs>
      </w:pPr>
      <w:r>
        <w:t>Chronic low back,</w:t>
      </w:r>
      <w:r w:rsidRPr="005962E4">
        <w:t xml:space="preserve"> neck</w:t>
      </w:r>
      <w:r>
        <w:t>, or shoulder</w:t>
      </w:r>
      <w:r w:rsidRPr="005962E4">
        <w:t xml:space="preserve"> pain;  </w:t>
      </w:r>
    </w:p>
    <w:p w14:paraId="496D0D06" w14:textId="77777777" w:rsidR="00D6529A" w:rsidRPr="00375F01" w:rsidRDefault="00D6529A" w:rsidP="00855E37">
      <w:pPr>
        <w:numPr>
          <w:ilvl w:val="0"/>
          <w:numId w:val="21"/>
        </w:numPr>
        <w:tabs>
          <w:tab w:val="clear" w:pos="720"/>
        </w:tabs>
        <w:rPr>
          <w:color w:val="FF0000"/>
        </w:rPr>
      </w:pPr>
      <w:r>
        <w:t>Chronic m</w:t>
      </w:r>
      <w:r w:rsidRPr="005962E4">
        <w:t>igraine</w:t>
      </w:r>
      <w:r>
        <w:t>s</w:t>
      </w:r>
      <w:r w:rsidRPr="005962E4">
        <w:t xml:space="preserve"> or </w:t>
      </w:r>
      <w:r>
        <w:t xml:space="preserve">moderate to severe chronic </w:t>
      </w:r>
      <w:r w:rsidRPr="005962E4">
        <w:t>tension headache</w:t>
      </w:r>
      <w:r>
        <w:t>s, defined as headaches &gt;14 days per month for more than 3 months</w:t>
      </w:r>
      <w:r w:rsidRPr="005962E4">
        <w:t>;</w:t>
      </w:r>
      <w:r>
        <w:t xml:space="preserve"> </w:t>
      </w:r>
    </w:p>
    <w:p w14:paraId="77998228" w14:textId="77777777" w:rsidR="00D6529A" w:rsidRPr="0014410B" w:rsidRDefault="00D6529A" w:rsidP="00855E37">
      <w:pPr>
        <w:numPr>
          <w:ilvl w:val="0"/>
          <w:numId w:val="21"/>
        </w:numPr>
        <w:tabs>
          <w:tab w:val="clear" w:pos="720"/>
        </w:tabs>
        <w:rPr>
          <w:color w:val="FF0000"/>
        </w:rPr>
      </w:pPr>
      <w:r w:rsidRPr="0050708C">
        <w:t>Pain from</w:t>
      </w:r>
      <w:r>
        <w:t xml:space="preserve"> clinically diagnosed</w:t>
      </w:r>
      <w:r w:rsidRPr="0050708C">
        <w:t xml:space="preserve"> osteo</w:t>
      </w:r>
      <w:r>
        <w:t xml:space="preserve">arthritis of the knee. </w:t>
      </w:r>
    </w:p>
    <w:p w14:paraId="572336B6" w14:textId="77777777" w:rsidR="00D6529A" w:rsidRDefault="00D6529A" w:rsidP="00855E37"/>
    <w:p w14:paraId="7CF6B975" w14:textId="77777777" w:rsidR="00D6529A" w:rsidRPr="00375F01" w:rsidRDefault="00D6529A" w:rsidP="00855E37">
      <w:pPr>
        <w:ind w:left="360"/>
        <w:rPr>
          <w:color w:val="FF0000"/>
        </w:rPr>
      </w:pPr>
      <w:r>
        <w:t>An initial course of 6 visits over 1 month is considered medically necessary.  If improvement in the condition occurs following the initial course of treatment, an additional 6 visits over 2 months is considered medically necessary</w:t>
      </w:r>
      <w:r w:rsidR="000C7C3E">
        <w:t xml:space="preserve"> to maintain improvement.</w:t>
      </w:r>
      <w:r>
        <w:t xml:space="preserve"> </w:t>
      </w:r>
    </w:p>
    <w:p w14:paraId="2035B970" w14:textId="77777777" w:rsidR="00D6529A" w:rsidRDefault="00D6529A" w:rsidP="00855E37">
      <w:pPr>
        <w:autoSpaceDE w:val="0"/>
        <w:autoSpaceDN w:val="0"/>
        <w:adjustRightInd w:val="0"/>
        <w:rPr>
          <w:b/>
          <w:bCs/>
        </w:rPr>
      </w:pPr>
    </w:p>
    <w:p w14:paraId="4817C1F2" w14:textId="77777777" w:rsidR="00D6529A" w:rsidRPr="00375F01" w:rsidRDefault="00D6529A" w:rsidP="00375F01">
      <w:pPr>
        <w:numPr>
          <w:ilvl w:val="0"/>
          <w:numId w:val="22"/>
        </w:numPr>
        <w:ind w:left="360"/>
        <w:rPr>
          <w:bCs/>
          <w:color w:val="FF0000"/>
        </w:rPr>
      </w:pPr>
      <w:r w:rsidRPr="00714DC9">
        <w:rPr>
          <w:bCs/>
        </w:rPr>
        <w:t>All other indications are considered experimental</w:t>
      </w:r>
      <w:r>
        <w:rPr>
          <w:bCs/>
        </w:rPr>
        <w:t>/</w:t>
      </w:r>
      <w:r w:rsidRPr="00714DC9">
        <w:rPr>
          <w:bCs/>
        </w:rPr>
        <w:t>investigational</w:t>
      </w:r>
      <w:r>
        <w:rPr>
          <w:bCs/>
        </w:rPr>
        <w:t xml:space="preserve"> and </w:t>
      </w:r>
      <w:r w:rsidRPr="00714DC9">
        <w:rPr>
          <w:b/>
          <w:bCs/>
        </w:rPr>
        <w:t>not medically necessary</w:t>
      </w:r>
      <w:r>
        <w:rPr>
          <w:bCs/>
        </w:rPr>
        <w:t xml:space="preserve">. </w:t>
      </w:r>
    </w:p>
    <w:p w14:paraId="52784CF6" w14:textId="77777777" w:rsidR="00D6529A" w:rsidRDefault="00D6529A" w:rsidP="00FB0592">
      <w:pPr>
        <w:pStyle w:val="Heading2"/>
        <w:rPr>
          <w:u w:val="none"/>
        </w:rPr>
      </w:pPr>
    </w:p>
    <w:p w14:paraId="6C2D505B" w14:textId="77777777" w:rsidR="00D6529A" w:rsidRDefault="00D6529A" w:rsidP="00FB0592">
      <w:pPr>
        <w:pStyle w:val="Heading2"/>
        <w:rPr>
          <w:u w:val="none"/>
        </w:rPr>
      </w:pPr>
      <w:r w:rsidRPr="00B777AF">
        <w:rPr>
          <w:u w:val="none"/>
        </w:rPr>
        <w:t>Background</w:t>
      </w:r>
    </w:p>
    <w:p w14:paraId="2170AED8" w14:textId="77777777" w:rsidR="00D6529A" w:rsidRDefault="00D6529A" w:rsidP="00855E37">
      <w:pPr>
        <w:rPr>
          <w:bCs/>
        </w:rPr>
      </w:pPr>
      <w:r w:rsidRPr="00787445">
        <w:rPr>
          <w:bCs/>
        </w:rPr>
        <w:t xml:space="preserve">Acute </w:t>
      </w:r>
      <w:r>
        <w:rPr>
          <w:bCs/>
        </w:rPr>
        <w:t xml:space="preserve">conditions typically are treated 2 to 3 times a week for two to three weeks then frequency is gradually reduced until treatment is no longer needed.  Generally treatment will last for 2 to 3 months.  There is insufficient evidence in studies to establish a defined treatment protocol for any condition.  </w:t>
      </w:r>
    </w:p>
    <w:p w14:paraId="7AF04AA3" w14:textId="77777777" w:rsidR="00D6529A" w:rsidRDefault="00D6529A" w:rsidP="00855E37">
      <w:pPr>
        <w:pStyle w:val="Heading2"/>
        <w:rPr>
          <w:b w:val="0"/>
          <w:u w:val="none"/>
        </w:rPr>
      </w:pPr>
    </w:p>
    <w:p w14:paraId="6F6C5BED" w14:textId="77777777" w:rsidR="00D6529A" w:rsidRPr="0077127B" w:rsidRDefault="00D6529A" w:rsidP="00855E37">
      <w:pPr>
        <w:pStyle w:val="Heading2"/>
        <w:rPr>
          <w:b w:val="0"/>
          <w:u w:val="none"/>
        </w:rPr>
      </w:pPr>
      <w:r>
        <w:rPr>
          <w:b w:val="0"/>
          <w:u w:val="none"/>
        </w:rPr>
        <w:t xml:space="preserve">Acupuncture is an ancient treatment originating in </w:t>
      </w:r>
      <w:smartTag w:uri="urn:schemas-microsoft-com:office:smarttags" w:element="place">
        <w:smartTag w:uri="urn:schemas-microsoft-com:office:smarttags" w:element="country-region">
          <w:r>
            <w:rPr>
              <w:b w:val="0"/>
              <w:u w:val="none"/>
            </w:rPr>
            <w:t>China</w:t>
          </w:r>
        </w:smartTag>
      </w:smartTag>
      <w:r>
        <w:rPr>
          <w:b w:val="0"/>
          <w:u w:val="none"/>
        </w:rPr>
        <w:t xml:space="preserve"> approximately 2000 years ago.  It is one of the oldest medical procedures in the world.  It is a form of complementary and alternative medicine (CAM) that has been more commonly practiced in the United States </w:t>
      </w:r>
      <w:r w:rsidR="00BD1EBE">
        <w:rPr>
          <w:b w:val="0"/>
          <w:u w:val="none"/>
        </w:rPr>
        <w:t>since</w:t>
      </w:r>
      <w:r>
        <w:rPr>
          <w:b w:val="0"/>
          <w:u w:val="none"/>
        </w:rPr>
        <w:t xml:space="preserve"> 1971.  </w:t>
      </w:r>
      <w:r w:rsidRPr="0077127B">
        <w:rPr>
          <w:b w:val="0"/>
          <w:u w:val="none"/>
        </w:rPr>
        <w:t xml:space="preserve">Acupuncture theory is largely grounded in two major Chinese philosophies, Confucianism and Taoism.  The two philosophies emphasize the importance of nature and for humans to integrate and abide by these laws rather than to resist them. The goal of the clinician is to maintain the body’s harmonious balance both internally and in relation to the external environment.  It is </w:t>
      </w:r>
      <w:r w:rsidRPr="0077127B">
        <w:rPr>
          <w:b w:val="0"/>
          <w:u w:val="none"/>
        </w:rPr>
        <w:lastRenderedPageBreak/>
        <w:t xml:space="preserve">believed treatment should not be solely symptom focused, so treatment is usually very individualized and two patients with the same symptoms often do not get the same treatment.   </w:t>
      </w:r>
    </w:p>
    <w:p w14:paraId="2B0F9819" w14:textId="77777777" w:rsidR="00D6529A" w:rsidRDefault="00D6529A" w:rsidP="00855E37"/>
    <w:p w14:paraId="104ABA72" w14:textId="77777777" w:rsidR="00D6529A" w:rsidRDefault="00D6529A" w:rsidP="00855E37">
      <w:r>
        <w:t xml:space="preserve">Three important concepts of acupuncture are qi, yin/yang, and the Five Elements: wood, water, fire, earth, and metal.  Qi is often translated as “vital energy”.  It is felt to permeate all things, may assume different forms, and travel through meridians located on the body.  Disturbances in the flow of qi, such as stagnant, depleted, collapsed or rebellious, are believed to cause disease.  Yin and yang are complementary opposites.  Yin represents more material, dense states of matter and yang represents more immaterial, rarefied states of matter.  The relationship between the two is dynamic and cyclic.  The acupuncturist must employ a series of qualitative assessments to establish a patient’s present balance of yin and yang.  The Five Elements represent different basic processes, qualities or phases of a cycle.  Each can generate or counteract another element.  Most vital organs, acupuncture meridians, emotions, and other health-related variable are assigned an element, providing a global description of the balancing dynamics seen in each person.  </w:t>
      </w:r>
    </w:p>
    <w:p w14:paraId="1DDF6635" w14:textId="77777777" w:rsidR="00D6529A" w:rsidRDefault="00D6529A" w:rsidP="00855E37"/>
    <w:p w14:paraId="1E60BAF9" w14:textId="77777777" w:rsidR="00D6529A" w:rsidRDefault="00D6529A" w:rsidP="00855E37">
      <w:r>
        <w:t xml:space="preserve">These principles are used by the acupuncturist to diagnose and treat individuals based on the nature of the imbalance.  The aim is to shift the constitution towards balance with the use of various interventions, acupuncture being one important option.  </w:t>
      </w:r>
    </w:p>
    <w:p w14:paraId="7FF1B360" w14:textId="77777777" w:rsidR="00D6529A" w:rsidRDefault="00D6529A" w:rsidP="00855E37"/>
    <w:p w14:paraId="767B70AB" w14:textId="77777777" w:rsidR="00D6529A" w:rsidRDefault="00D6529A" w:rsidP="00855E37">
      <w:r>
        <w:t xml:space="preserve">The diagnostic evaluation of the acupuncturist may be extensive and complex, incorporating assessment of practically everything, including skin, complexion, bones, channels, smells, sounds, mental state, preferences, emotions, demeanor, and body build.  Once the diagnosis is established, fine metal needles are inserted into precisely defined points to correct disruption in harmony.  Needles are removed after being in place for 10 to 15 minutes while the patient lies relaxed.  Treatments can occur one to two times a week and the total number of sessions is variable dependent on the condition, disease severity and chronicity.  </w:t>
      </w:r>
    </w:p>
    <w:p w14:paraId="789E47A1" w14:textId="77777777" w:rsidR="00D6529A" w:rsidRDefault="00D6529A" w:rsidP="00855E37"/>
    <w:p w14:paraId="6B2EE0E6" w14:textId="77777777" w:rsidR="00D6529A" w:rsidRPr="007558BA" w:rsidRDefault="00D6529A" w:rsidP="00855E37">
      <w:r>
        <w:t xml:space="preserve">There are many proposed models for the mechanism of action of the effects of acupuncture; however the data have been either too inconsistent or inadequate to draw significant conclusions.  The theory in regards to the analgesic effect of acupuncture, associates the neurotransmitter effects such as endorphin release at both the spinal and supraspinal levels. Functional MRI studies have demonstrated various physiologic effects, associating acupuncture points with changes in brain MRI signals.  Another theory is that acupuncture points are associated with anatomic locations of loose connective tissue.  </w:t>
      </w:r>
    </w:p>
    <w:p w14:paraId="0076C9AD" w14:textId="77777777" w:rsidR="00D6529A" w:rsidRDefault="00D6529A" w:rsidP="00855E37"/>
    <w:p w14:paraId="68239789" w14:textId="77777777" w:rsidR="00D6529A" w:rsidRDefault="00D6529A" w:rsidP="00855E37">
      <w:r>
        <w:t xml:space="preserve">Evidence from a number of randomized, blinded, placebo-controlled studies indicate that acupoint stimulation can be effective in the management of </w:t>
      </w:r>
      <w:r w:rsidRPr="00060667">
        <w:rPr>
          <w:i/>
        </w:rPr>
        <w:t>postoperative nausea and vomiting</w:t>
      </w:r>
      <w:r>
        <w:t xml:space="preserve">, particularly in women, with mixed results in pediatric populations.  Acupoint stimulation for women undergoing chemotherapy also reduced nausea and vomiting in some studies, but no effect was reported in a study involving both men and women.  The evidence regarding alleviation of morning sickness by acupoint stimulation is limited, less rigorous than for postoperative nausea and vomiting, and ambiguous.  </w:t>
      </w:r>
    </w:p>
    <w:p w14:paraId="38794A9F" w14:textId="77777777" w:rsidR="00D6529A" w:rsidRDefault="00D6529A" w:rsidP="00855E37"/>
    <w:p w14:paraId="203091A0" w14:textId="77777777" w:rsidR="00D6529A" w:rsidRDefault="00D6529A" w:rsidP="00855E37">
      <w:r>
        <w:lastRenderedPageBreak/>
        <w:t xml:space="preserve">Recent data on acupuncture for </w:t>
      </w:r>
      <w:r w:rsidRPr="005962E4">
        <w:rPr>
          <w:i/>
        </w:rPr>
        <w:t>postoperative dental pain</w:t>
      </w:r>
      <w:r>
        <w:t xml:space="preserve"> is limited, but earlier evidence indicated promising results for this use.  Data was most promising for pain relief following tooth extraction.  </w:t>
      </w:r>
    </w:p>
    <w:p w14:paraId="024F7521" w14:textId="77777777" w:rsidR="00D6529A" w:rsidRDefault="00D6529A" w:rsidP="00855E37"/>
    <w:p w14:paraId="3D4D29D6" w14:textId="77777777" w:rsidR="00D6529A" w:rsidRDefault="00D6529A" w:rsidP="00855E37">
      <w:r>
        <w:t xml:space="preserve">There are a number of randomized controlled trials that establish improvement in </w:t>
      </w:r>
      <w:r w:rsidRPr="00060667">
        <w:rPr>
          <w:i/>
        </w:rPr>
        <w:t xml:space="preserve">headache </w:t>
      </w:r>
      <w:r>
        <w:t xml:space="preserve">frequency, intensity, response, use of relief medication and quality of life relative to usual care and relief treatment only.  However, the trials failed to demonstrate that acupuncture is more effective than sham acupuncture.  Results were ambiguous regarding efficacy of acupuncture relative to prophylactic drug treatment.  There was insufficient evidence available to conclude the efficacy of acupuncture compared with nonpharmacological interventions.  </w:t>
      </w:r>
    </w:p>
    <w:p w14:paraId="544ACF16" w14:textId="77777777" w:rsidR="00D6529A" w:rsidRDefault="00D6529A" w:rsidP="00855E37"/>
    <w:p w14:paraId="54F74F64" w14:textId="77777777" w:rsidR="00D6529A" w:rsidRDefault="00D6529A" w:rsidP="00855E37">
      <w:r>
        <w:t xml:space="preserve">Acupuncture for </w:t>
      </w:r>
      <w:r w:rsidRPr="005962E4">
        <w:rPr>
          <w:i/>
        </w:rPr>
        <w:t>osteoarthritis pain</w:t>
      </w:r>
      <w:r>
        <w:t xml:space="preserve"> appears to be effective, particularly for pain in the knee.  Recent literature has shown relief of pain and improved function in osteoarthritis of the knee for patients treated with acupuncture.  </w:t>
      </w:r>
    </w:p>
    <w:p w14:paraId="2EAD8559" w14:textId="77777777" w:rsidR="00D6529A" w:rsidRDefault="00D6529A" w:rsidP="00855E37"/>
    <w:p w14:paraId="51E16EE3" w14:textId="77777777" w:rsidR="00D6529A" w:rsidRDefault="00D6529A" w:rsidP="00855E37">
      <w:pPr>
        <w:rPr>
          <w:b/>
          <w:bCs/>
        </w:rPr>
      </w:pPr>
      <w:r>
        <w:t>Acupuncture has been studied for a variety of other reasons, but studies and evidence does not currently support its use for indications such as, but not limited to, arm pain, temporomandibular joint dysfunction, menstrual cramps and fibromyalgia.</w:t>
      </w:r>
    </w:p>
    <w:p w14:paraId="5067E636" w14:textId="77777777" w:rsidR="00D6529A" w:rsidRPr="000465DE" w:rsidRDefault="00D6529A">
      <w:pPr>
        <w:rPr>
          <w:b/>
          <w:bCs/>
        </w:rPr>
      </w:pPr>
    </w:p>
    <w:p w14:paraId="3CF78719" w14:textId="77777777" w:rsidR="00D6529A" w:rsidRPr="00B777AF" w:rsidRDefault="00D6529A" w:rsidP="00170B14">
      <w:pPr>
        <w:rPr>
          <w:b/>
        </w:rPr>
      </w:pPr>
      <w:bookmarkStart w:id="0" w:name="Coding_Implications"/>
      <w:r w:rsidRPr="00B777AF">
        <w:rPr>
          <w:b/>
        </w:rPr>
        <w:t>Coding Implications</w:t>
      </w:r>
    </w:p>
    <w:bookmarkEnd w:id="0"/>
    <w:p w14:paraId="7F06AFFB" w14:textId="14527F34" w:rsidR="00D6529A" w:rsidRDefault="00847956"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95856">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E9A3196" w14:textId="77777777" w:rsidR="00847956" w:rsidRPr="00A85489" w:rsidRDefault="00847956" w:rsidP="00AF5490"/>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14"/>
        <w:gridCol w:w="8511"/>
      </w:tblGrid>
      <w:tr w:rsidR="00D6529A" w:rsidRPr="00B777AF" w14:paraId="2DA1F2AC" w14:textId="77777777" w:rsidTr="00C0526E">
        <w:trPr>
          <w:tblHeader/>
        </w:trPr>
        <w:tc>
          <w:tcPr>
            <w:tcW w:w="1114" w:type="dxa"/>
            <w:shd w:val="clear" w:color="auto" w:fill="00548C"/>
          </w:tcPr>
          <w:p w14:paraId="3C6D15A5" w14:textId="77777777" w:rsidR="00D6529A" w:rsidRPr="002621CA" w:rsidRDefault="00D6529A" w:rsidP="00C10DF0">
            <w:pPr>
              <w:rPr>
                <w:b/>
                <w:bCs/>
                <w:color w:val="FFFFFF"/>
              </w:rPr>
            </w:pPr>
            <w:r w:rsidRPr="002621CA">
              <w:rPr>
                <w:b/>
                <w:color w:val="FFFFFF"/>
              </w:rPr>
              <w:t>CPT</w:t>
            </w:r>
            <w:r w:rsidRPr="002621CA">
              <w:rPr>
                <w:b/>
                <w:color w:val="FFFFFF"/>
                <w:vertAlign w:val="superscript"/>
              </w:rPr>
              <w:t>®*</w:t>
            </w:r>
            <w:r w:rsidRPr="002621CA">
              <w:rPr>
                <w:b/>
                <w:color w:val="FFFFFF"/>
              </w:rPr>
              <w:t xml:space="preserve"> Codes </w:t>
            </w:r>
          </w:p>
        </w:tc>
        <w:tc>
          <w:tcPr>
            <w:tcW w:w="8511" w:type="dxa"/>
            <w:shd w:val="clear" w:color="auto" w:fill="00548C"/>
          </w:tcPr>
          <w:p w14:paraId="3FE41FBA" w14:textId="77777777" w:rsidR="00D6529A" w:rsidRPr="002621CA" w:rsidRDefault="00D6529A" w:rsidP="00C10DF0">
            <w:pPr>
              <w:rPr>
                <w:b/>
                <w:bCs/>
                <w:color w:val="FFFFFF"/>
              </w:rPr>
            </w:pPr>
            <w:r w:rsidRPr="002621CA">
              <w:rPr>
                <w:b/>
                <w:color w:val="FFFFFF"/>
              </w:rPr>
              <w:t>Description</w:t>
            </w:r>
          </w:p>
        </w:tc>
      </w:tr>
      <w:tr w:rsidR="00D6529A" w:rsidRPr="005144C0" w14:paraId="1153774B" w14:textId="77777777" w:rsidTr="00C0526E">
        <w:tblPrEx>
          <w:tblLook w:val="00A0" w:firstRow="1" w:lastRow="0" w:firstColumn="1" w:lastColumn="0" w:noHBand="0" w:noVBand="0"/>
        </w:tblPrEx>
        <w:tc>
          <w:tcPr>
            <w:tcW w:w="1114" w:type="dxa"/>
          </w:tcPr>
          <w:p w14:paraId="38E76AA1" w14:textId="77777777" w:rsidR="00D6529A" w:rsidRPr="002621CA" w:rsidRDefault="00D6529A" w:rsidP="004007B6">
            <w:pPr>
              <w:rPr>
                <w:bCs/>
              </w:rPr>
            </w:pPr>
            <w:r w:rsidRPr="002621CA">
              <w:rPr>
                <w:bCs/>
              </w:rPr>
              <w:t>97810</w:t>
            </w:r>
          </w:p>
        </w:tc>
        <w:tc>
          <w:tcPr>
            <w:tcW w:w="8511" w:type="dxa"/>
          </w:tcPr>
          <w:p w14:paraId="20F27A88" w14:textId="77777777" w:rsidR="00D6529A" w:rsidRPr="002621CA" w:rsidRDefault="00D6529A" w:rsidP="004007B6">
            <w:pPr>
              <w:rPr>
                <w:bCs/>
              </w:rPr>
            </w:pPr>
            <w:r w:rsidRPr="002621CA">
              <w:rPr>
                <w:bCs/>
              </w:rPr>
              <w:t>Acupuncture, 1 or more needles; without electrical stimulation, initial 15 minutes of personal one-on-one contact with the patient</w:t>
            </w:r>
          </w:p>
        </w:tc>
      </w:tr>
      <w:tr w:rsidR="00D6529A" w:rsidRPr="005144C0" w14:paraId="0BBD6A6C" w14:textId="77777777" w:rsidTr="00C0526E">
        <w:tblPrEx>
          <w:tblLook w:val="00A0" w:firstRow="1" w:lastRow="0" w:firstColumn="1" w:lastColumn="0" w:noHBand="0" w:noVBand="0"/>
        </w:tblPrEx>
        <w:tc>
          <w:tcPr>
            <w:tcW w:w="1114" w:type="dxa"/>
          </w:tcPr>
          <w:p w14:paraId="4A144173" w14:textId="77777777" w:rsidR="00D6529A" w:rsidRPr="002621CA" w:rsidRDefault="00D6529A" w:rsidP="004007B6">
            <w:pPr>
              <w:rPr>
                <w:bCs/>
              </w:rPr>
            </w:pPr>
            <w:r w:rsidRPr="002621CA">
              <w:rPr>
                <w:bCs/>
              </w:rPr>
              <w:t>97811</w:t>
            </w:r>
          </w:p>
        </w:tc>
        <w:tc>
          <w:tcPr>
            <w:tcW w:w="8511" w:type="dxa"/>
          </w:tcPr>
          <w:p w14:paraId="061FC461" w14:textId="77777777" w:rsidR="00D6529A" w:rsidRPr="002621CA" w:rsidRDefault="00D6529A" w:rsidP="004007B6">
            <w:pPr>
              <w:rPr>
                <w:bCs/>
              </w:rPr>
            </w:pPr>
            <w:r w:rsidRPr="002621CA">
              <w:rPr>
                <w:bCs/>
              </w:rPr>
              <w:t>Acupuncture, 1 or more needles; without electrical stimulation, each additional 15 minutes of personal one-on-one contact with the patient, with reinsertion of needles(s)</w:t>
            </w:r>
          </w:p>
        </w:tc>
      </w:tr>
      <w:tr w:rsidR="00D6529A" w:rsidRPr="005144C0" w14:paraId="76BA1637" w14:textId="77777777" w:rsidTr="00C0526E">
        <w:tblPrEx>
          <w:tblLook w:val="00A0" w:firstRow="1" w:lastRow="0" w:firstColumn="1" w:lastColumn="0" w:noHBand="0" w:noVBand="0"/>
        </w:tblPrEx>
        <w:tc>
          <w:tcPr>
            <w:tcW w:w="1114" w:type="dxa"/>
          </w:tcPr>
          <w:p w14:paraId="7CA87903" w14:textId="77777777" w:rsidR="00D6529A" w:rsidRPr="002621CA" w:rsidRDefault="00D6529A" w:rsidP="004007B6">
            <w:pPr>
              <w:rPr>
                <w:bCs/>
              </w:rPr>
            </w:pPr>
            <w:r w:rsidRPr="002621CA">
              <w:rPr>
                <w:bCs/>
              </w:rPr>
              <w:t>97813</w:t>
            </w:r>
          </w:p>
        </w:tc>
        <w:tc>
          <w:tcPr>
            <w:tcW w:w="8511" w:type="dxa"/>
          </w:tcPr>
          <w:p w14:paraId="663768BD" w14:textId="77777777" w:rsidR="00D6529A" w:rsidRPr="002621CA" w:rsidRDefault="00D6529A" w:rsidP="004007B6">
            <w:pPr>
              <w:rPr>
                <w:bCs/>
              </w:rPr>
            </w:pPr>
            <w:r w:rsidRPr="002621CA">
              <w:rPr>
                <w:bCs/>
              </w:rPr>
              <w:t>Acupuncture, 1 or more needles; with electrical stimulation, initial 15 minutes of personal one-on-one contact with the patient</w:t>
            </w:r>
          </w:p>
        </w:tc>
      </w:tr>
      <w:tr w:rsidR="00D6529A" w:rsidRPr="005144C0" w14:paraId="4077FD58" w14:textId="77777777" w:rsidTr="00C0526E">
        <w:tblPrEx>
          <w:tblLook w:val="00A0" w:firstRow="1" w:lastRow="0" w:firstColumn="1" w:lastColumn="0" w:noHBand="0" w:noVBand="0"/>
        </w:tblPrEx>
        <w:tc>
          <w:tcPr>
            <w:tcW w:w="1114" w:type="dxa"/>
          </w:tcPr>
          <w:p w14:paraId="5BF329F9" w14:textId="77777777" w:rsidR="00D6529A" w:rsidRPr="002621CA" w:rsidRDefault="00D6529A" w:rsidP="004007B6">
            <w:pPr>
              <w:rPr>
                <w:bCs/>
              </w:rPr>
            </w:pPr>
            <w:r w:rsidRPr="002621CA">
              <w:rPr>
                <w:bCs/>
              </w:rPr>
              <w:t>97814</w:t>
            </w:r>
          </w:p>
        </w:tc>
        <w:tc>
          <w:tcPr>
            <w:tcW w:w="8511" w:type="dxa"/>
          </w:tcPr>
          <w:p w14:paraId="1A9E282D" w14:textId="77777777" w:rsidR="00D6529A" w:rsidRPr="002621CA" w:rsidRDefault="00D6529A" w:rsidP="004007B6">
            <w:pPr>
              <w:rPr>
                <w:bCs/>
              </w:rPr>
            </w:pPr>
            <w:r w:rsidRPr="002621CA">
              <w:rPr>
                <w:bCs/>
              </w:rPr>
              <w:t>Acupuncture, 1 or more needles; with electrical stimulation, each additional 15 minutes of personal one-on-one contact with the patient, with reinsertion of needles(s)</w:t>
            </w:r>
          </w:p>
        </w:tc>
      </w:tr>
    </w:tbl>
    <w:p w14:paraId="563EFF3F" w14:textId="77777777" w:rsidR="00D6529A" w:rsidRPr="00CA53B9" w:rsidRDefault="00D6529A" w:rsidP="00AF5490">
      <w:pPr>
        <w:rPr>
          <w:sz w:val="20"/>
        </w:rPr>
      </w:pPr>
    </w:p>
    <w:p w14:paraId="49D2EB67" w14:textId="77777777" w:rsidR="00D6529A" w:rsidRDefault="00D6529A" w:rsidP="00AF5490">
      <w:pPr>
        <w:rPr>
          <w:b/>
        </w:rPr>
      </w:pPr>
      <w:r w:rsidRPr="00350F22">
        <w:rPr>
          <w:b/>
        </w:rPr>
        <w:t>ICD-10-CM Diagnosis Codes that Support Coverage Criteria</w:t>
      </w:r>
    </w:p>
    <w:p w14:paraId="3B9DAE40" w14:textId="77777777" w:rsidR="00DA65D3" w:rsidRPr="00DA65D3" w:rsidRDefault="00DA65D3" w:rsidP="00AF5490">
      <w:r w:rsidRPr="004C7108">
        <w:t>+ Indicates a code</w:t>
      </w:r>
      <w:r w:rsidR="001E035C">
        <w:t>(s)</w:t>
      </w:r>
      <w:r w:rsidRPr="004C7108">
        <w:t xml:space="preserve"> requiring an additional character</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5"/>
        <w:gridCol w:w="7560"/>
      </w:tblGrid>
      <w:tr w:rsidR="00D6529A" w:rsidRPr="00B777AF" w14:paraId="79F4251B" w14:textId="77777777" w:rsidTr="00C0526E">
        <w:trPr>
          <w:tblHeader/>
        </w:trPr>
        <w:tc>
          <w:tcPr>
            <w:tcW w:w="2065" w:type="dxa"/>
            <w:shd w:val="clear" w:color="auto" w:fill="00548C"/>
          </w:tcPr>
          <w:p w14:paraId="2B32B34E" w14:textId="77777777" w:rsidR="00D6529A" w:rsidRPr="002621CA" w:rsidRDefault="00D6529A" w:rsidP="00350F22">
            <w:pPr>
              <w:rPr>
                <w:b/>
                <w:bCs/>
                <w:color w:val="FFFFFF"/>
              </w:rPr>
            </w:pPr>
            <w:r w:rsidRPr="002621CA">
              <w:rPr>
                <w:b/>
                <w:color w:val="FFFFFF"/>
              </w:rPr>
              <w:t>ICD-10-CM Code</w:t>
            </w:r>
          </w:p>
        </w:tc>
        <w:tc>
          <w:tcPr>
            <w:tcW w:w="7560" w:type="dxa"/>
            <w:shd w:val="clear" w:color="auto" w:fill="00548C"/>
          </w:tcPr>
          <w:p w14:paraId="531579F2" w14:textId="77777777" w:rsidR="00D6529A" w:rsidRPr="002621CA" w:rsidRDefault="00D6529A" w:rsidP="00F91367">
            <w:pPr>
              <w:rPr>
                <w:b/>
                <w:bCs/>
                <w:color w:val="FFFFFF"/>
              </w:rPr>
            </w:pPr>
            <w:r w:rsidRPr="002621CA">
              <w:rPr>
                <w:b/>
                <w:color w:val="FFFFFF"/>
              </w:rPr>
              <w:t>Description</w:t>
            </w:r>
          </w:p>
        </w:tc>
      </w:tr>
      <w:tr w:rsidR="00D6529A" w:rsidRPr="005144C0" w14:paraId="0FB702EC" w14:textId="77777777" w:rsidTr="00C0526E">
        <w:tc>
          <w:tcPr>
            <w:tcW w:w="2065" w:type="dxa"/>
          </w:tcPr>
          <w:p w14:paraId="2640881A" w14:textId="77777777" w:rsidR="00D6529A" w:rsidRPr="002621CA" w:rsidRDefault="00D6529A" w:rsidP="00F91367">
            <w:pPr>
              <w:rPr>
                <w:bCs/>
              </w:rPr>
            </w:pPr>
            <w:r>
              <w:rPr>
                <w:bCs/>
              </w:rPr>
              <w:t>G43.001</w:t>
            </w:r>
            <w:r w:rsidR="00AB46C8">
              <w:rPr>
                <w:bCs/>
              </w:rPr>
              <w:t>-G43.9</w:t>
            </w:r>
            <w:r>
              <w:rPr>
                <w:bCs/>
              </w:rPr>
              <w:t>19</w:t>
            </w:r>
          </w:p>
        </w:tc>
        <w:tc>
          <w:tcPr>
            <w:tcW w:w="7560" w:type="dxa"/>
          </w:tcPr>
          <w:p w14:paraId="14B21AB3" w14:textId="77777777" w:rsidR="00D6529A" w:rsidRPr="00375F01" w:rsidRDefault="00D6529A" w:rsidP="00F91367">
            <w:pPr>
              <w:rPr>
                <w:bCs/>
              </w:rPr>
            </w:pPr>
            <w:r w:rsidRPr="00375F01">
              <w:rPr>
                <w:bCs/>
              </w:rPr>
              <w:t>Migraine</w:t>
            </w:r>
          </w:p>
        </w:tc>
      </w:tr>
      <w:tr w:rsidR="00D6529A" w:rsidRPr="005144C0" w14:paraId="3FA76A4E" w14:textId="77777777" w:rsidTr="00C0526E">
        <w:tc>
          <w:tcPr>
            <w:tcW w:w="2065" w:type="dxa"/>
          </w:tcPr>
          <w:p w14:paraId="7AF7CC8E" w14:textId="77777777" w:rsidR="00D6529A" w:rsidRDefault="00D6529A" w:rsidP="007A09D8">
            <w:pPr>
              <w:rPr>
                <w:bCs/>
              </w:rPr>
            </w:pPr>
            <w:r>
              <w:rPr>
                <w:bCs/>
              </w:rPr>
              <w:t>G44.221- G</w:t>
            </w:r>
            <w:r w:rsidR="007A09D8">
              <w:rPr>
                <w:bCs/>
              </w:rPr>
              <w:t>44.</w:t>
            </w:r>
            <w:r>
              <w:rPr>
                <w:bCs/>
              </w:rPr>
              <w:t>2</w:t>
            </w:r>
            <w:r w:rsidR="007A09D8">
              <w:rPr>
                <w:bCs/>
              </w:rPr>
              <w:t>2</w:t>
            </w:r>
            <w:r>
              <w:rPr>
                <w:bCs/>
              </w:rPr>
              <w:t>9</w:t>
            </w:r>
          </w:p>
        </w:tc>
        <w:tc>
          <w:tcPr>
            <w:tcW w:w="7560" w:type="dxa"/>
          </w:tcPr>
          <w:p w14:paraId="0F6F65F7" w14:textId="77777777" w:rsidR="00D6529A" w:rsidRPr="00375F01" w:rsidRDefault="00D6529A" w:rsidP="00F91367">
            <w:pPr>
              <w:rPr>
                <w:bCs/>
              </w:rPr>
            </w:pPr>
            <w:r>
              <w:rPr>
                <w:bCs/>
              </w:rPr>
              <w:t>Chronic tension- type headache</w:t>
            </w:r>
          </w:p>
        </w:tc>
      </w:tr>
      <w:tr w:rsidR="00D6529A" w:rsidRPr="005144C0" w14:paraId="19E37251" w14:textId="77777777" w:rsidTr="00C0526E">
        <w:tc>
          <w:tcPr>
            <w:tcW w:w="2065" w:type="dxa"/>
          </w:tcPr>
          <w:p w14:paraId="14A6074F" w14:textId="77777777" w:rsidR="00D6529A" w:rsidRDefault="00D6529A" w:rsidP="00F91367">
            <w:pPr>
              <w:rPr>
                <w:bCs/>
              </w:rPr>
            </w:pPr>
            <w:r>
              <w:rPr>
                <w:bCs/>
              </w:rPr>
              <w:t>M17.0-M17.9</w:t>
            </w:r>
          </w:p>
        </w:tc>
        <w:tc>
          <w:tcPr>
            <w:tcW w:w="7560" w:type="dxa"/>
          </w:tcPr>
          <w:p w14:paraId="4073146D" w14:textId="77777777" w:rsidR="00D6529A" w:rsidRPr="00375F01" w:rsidRDefault="00D6529A" w:rsidP="00F91367">
            <w:pPr>
              <w:rPr>
                <w:bCs/>
              </w:rPr>
            </w:pPr>
            <w:r>
              <w:rPr>
                <w:bCs/>
              </w:rPr>
              <w:t>Osteoarthritis of knee</w:t>
            </w:r>
          </w:p>
        </w:tc>
      </w:tr>
      <w:tr w:rsidR="00D6529A" w:rsidRPr="005144C0" w14:paraId="3DA549BF" w14:textId="77777777" w:rsidTr="00C0526E">
        <w:tc>
          <w:tcPr>
            <w:tcW w:w="2065" w:type="dxa"/>
          </w:tcPr>
          <w:p w14:paraId="45A5434D" w14:textId="77777777" w:rsidR="00D6529A" w:rsidRDefault="00D6529A" w:rsidP="00F91367">
            <w:pPr>
              <w:rPr>
                <w:bCs/>
              </w:rPr>
            </w:pPr>
            <w:r>
              <w:rPr>
                <w:bCs/>
              </w:rPr>
              <w:lastRenderedPageBreak/>
              <w:t>M25.511-M25.519</w:t>
            </w:r>
          </w:p>
        </w:tc>
        <w:tc>
          <w:tcPr>
            <w:tcW w:w="7560" w:type="dxa"/>
          </w:tcPr>
          <w:p w14:paraId="7013AB73" w14:textId="77777777" w:rsidR="00D6529A" w:rsidRDefault="00D6529A" w:rsidP="00F91367">
            <w:pPr>
              <w:rPr>
                <w:bCs/>
              </w:rPr>
            </w:pPr>
            <w:r>
              <w:rPr>
                <w:bCs/>
              </w:rPr>
              <w:t>Pain in shoulder</w:t>
            </w:r>
          </w:p>
        </w:tc>
      </w:tr>
      <w:tr w:rsidR="00D6529A" w:rsidRPr="005144C0" w14:paraId="721375C1" w14:textId="77777777" w:rsidTr="00C0526E">
        <w:tc>
          <w:tcPr>
            <w:tcW w:w="2065" w:type="dxa"/>
          </w:tcPr>
          <w:p w14:paraId="090AFEAE" w14:textId="77777777" w:rsidR="00D6529A" w:rsidRDefault="00D6529A" w:rsidP="00F91367">
            <w:pPr>
              <w:rPr>
                <w:bCs/>
              </w:rPr>
            </w:pPr>
            <w:r>
              <w:rPr>
                <w:bCs/>
              </w:rPr>
              <w:t>M50.00-M54.9</w:t>
            </w:r>
            <w:r w:rsidR="001E035C">
              <w:rPr>
                <w:bCs/>
              </w:rPr>
              <w:t>+</w:t>
            </w:r>
          </w:p>
        </w:tc>
        <w:tc>
          <w:tcPr>
            <w:tcW w:w="7560" w:type="dxa"/>
          </w:tcPr>
          <w:p w14:paraId="05D907F8" w14:textId="77777777" w:rsidR="00D6529A" w:rsidRDefault="00D6529A" w:rsidP="00F91367">
            <w:pPr>
              <w:rPr>
                <w:bCs/>
              </w:rPr>
            </w:pPr>
            <w:r>
              <w:rPr>
                <w:bCs/>
              </w:rPr>
              <w:t>Other dorsopathies</w:t>
            </w:r>
          </w:p>
        </w:tc>
      </w:tr>
      <w:tr w:rsidR="00D6529A" w:rsidRPr="005144C0" w14:paraId="071339F5" w14:textId="77777777" w:rsidTr="00C0526E">
        <w:tc>
          <w:tcPr>
            <w:tcW w:w="2065" w:type="dxa"/>
          </w:tcPr>
          <w:p w14:paraId="6F9963F2" w14:textId="77777777" w:rsidR="00D6529A" w:rsidRDefault="00D6529A" w:rsidP="00F91367">
            <w:pPr>
              <w:rPr>
                <w:bCs/>
              </w:rPr>
            </w:pPr>
            <w:r>
              <w:rPr>
                <w:bCs/>
              </w:rPr>
              <w:t>O21.0-O21.9</w:t>
            </w:r>
          </w:p>
        </w:tc>
        <w:tc>
          <w:tcPr>
            <w:tcW w:w="7560" w:type="dxa"/>
          </w:tcPr>
          <w:p w14:paraId="6A9C3E69" w14:textId="77777777" w:rsidR="00D6529A" w:rsidRDefault="00D6529A" w:rsidP="00F91367">
            <w:pPr>
              <w:rPr>
                <w:bCs/>
              </w:rPr>
            </w:pPr>
            <w:r>
              <w:rPr>
                <w:bCs/>
              </w:rPr>
              <w:t>Excessive vomiting in pregnancy</w:t>
            </w:r>
          </w:p>
        </w:tc>
      </w:tr>
      <w:tr w:rsidR="00D6529A" w:rsidRPr="005144C0" w14:paraId="6F5AF8A0" w14:textId="77777777" w:rsidTr="00C0526E">
        <w:tc>
          <w:tcPr>
            <w:tcW w:w="2065" w:type="dxa"/>
          </w:tcPr>
          <w:p w14:paraId="07A3307E" w14:textId="77777777" w:rsidR="00D6529A" w:rsidRDefault="00D6529A" w:rsidP="00F91367">
            <w:pPr>
              <w:rPr>
                <w:bCs/>
              </w:rPr>
            </w:pPr>
            <w:r>
              <w:rPr>
                <w:bCs/>
              </w:rPr>
              <w:t>R11.0-R11.2</w:t>
            </w:r>
            <w:r w:rsidR="00DA65D3">
              <w:rPr>
                <w:bCs/>
              </w:rPr>
              <w:t>+</w:t>
            </w:r>
          </w:p>
        </w:tc>
        <w:tc>
          <w:tcPr>
            <w:tcW w:w="7560" w:type="dxa"/>
          </w:tcPr>
          <w:p w14:paraId="1A880600" w14:textId="77777777" w:rsidR="00D6529A" w:rsidRDefault="00D6529A" w:rsidP="00F91367">
            <w:pPr>
              <w:rPr>
                <w:bCs/>
              </w:rPr>
            </w:pPr>
            <w:r>
              <w:rPr>
                <w:bCs/>
              </w:rPr>
              <w:t>Nausea and vomiting</w:t>
            </w:r>
          </w:p>
        </w:tc>
      </w:tr>
    </w:tbl>
    <w:p w14:paraId="10010F09" w14:textId="77777777" w:rsidR="00D6529A" w:rsidRDefault="00D6529A"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D6529A" w:rsidRPr="00B777AF" w14:paraId="53BB5D3E" w14:textId="77777777" w:rsidTr="002621CA">
        <w:trPr>
          <w:tblHeader/>
        </w:trPr>
        <w:tc>
          <w:tcPr>
            <w:tcW w:w="7578" w:type="dxa"/>
            <w:tcBorders>
              <w:top w:val="single" w:sz="8" w:space="0" w:color="4F81BD"/>
            </w:tcBorders>
            <w:shd w:val="clear" w:color="auto" w:fill="00548C"/>
          </w:tcPr>
          <w:p w14:paraId="13AA77F5" w14:textId="77777777" w:rsidR="00D6529A" w:rsidRPr="002621CA" w:rsidRDefault="00D6529A" w:rsidP="00B777AF">
            <w:pPr>
              <w:rPr>
                <w:b/>
                <w:bCs/>
                <w:color w:val="FFFFFF"/>
              </w:rPr>
            </w:pPr>
            <w:bookmarkStart w:id="1" w:name="Revision_Log"/>
            <w:r w:rsidRPr="002621CA">
              <w:rPr>
                <w:b/>
                <w:color w:val="FFFFFF"/>
              </w:rPr>
              <w:t>Reviews, Revisions, and Approvals</w:t>
            </w:r>
            <w:bookmarkEnd w:id="1"/>
          </w:p>
        </w:tc>
        <w:tc>
          <w:tcPr>
            <w:tcW w:w="810" w:type="dxa"/>
            <w:shd w:val="clear" w:color="auto" w:fill="00548C"/>
          </w:tcPr>
          <w:p w14:paraId="0DC8A183" w14:textId="77777777" w:rsidR="00D6529A" w:rsidRPr="002621CA" w:rsidRDefault="00D6529A" w:rsidP="002621CA">
            <w:pPr>
              <w:jc w:val="center"/>
              <w:rPr>
                <w:b/>
                <w:bCs/>
                <w:color w:val="FFFFFF"/>
              </w:rPr>
            </w:pPr>
            <w:r w:rsidRPr="002621CA">
              <w:rPr>
                <w:b/>
                <w:color w:val="FFFFFF"/>
              </w:rPr>
              <w:t>Date</w:t>
            </w:r>
          </w:p>
        </w:tc>
        <w:tc>
          <w:tcPr>
            <w:tcW w:w="1260" w:type="dxa"/>
            <w:tcBorders>
              <w:top w:val="single" w:sz="8" w:space="0" w:color="4F81BD"/>
            </w:tcBorders>
            <w:shd w:val="clear" w:color="auto" w:fill="00548C"/>
          </w:tcPr>
          <w:p w14:paraId="64E8D835" w14:textId="77777777" w:rsidR="00D6529A" w:rsidRPr="002621CA" w:rsidRDefault="00D6529A" w:rsidP="002621CA">
            <w:pPr>
              <w:jc w:val="center"/>
              <w:rPr>
                <w:b/>
                <w:bCs/>
                <w:color w:val="FFFFFF"/>
              </w:rPr>
            </w:pPr>
            <w:r w:rsidRPr="002621CA">
              <w:rPr>
                <w:b/>
                <w:color w:val="FFFFFF"/>
              </w:rPr>
              <w:t>Approval Date</w:t>
            </w:r>
          </w:p>
        </w:tc>
      </w:tr>
      <w:tr w:rsidR="00D6529A" w14:paraId="0C7A5913" w14:textId="77777777" w:rsidTr="002621CA">
        <w:tc>
          <w:tcPr>
            <w:tcW w:w="7578" w:type="dxa"/>
          </w:tcPr>
          <w:p w14:paraId="55F4F441" w14:textId="77777777" w:rsidR="00D6529A" w:rsidRDefault="00D6529A" w:rsidP="002621CA">
            <w:pPr>
              <w:tabs>
                <w:tab w:val="num" w:pos="720"/>
              </w:tabs>
            </w:pPr>
            <w:r>
              <w:t>Bibliography reviewed and updated</w:t>
            </w:r>
          </w:p>
        </w:tc>
        <w:tc>
          <w:tcPr>
            <w:tcW w:w="810" w:type="dxa"/>
          </w:tcPr>
          <w:p w14:paraId="314B4E8F" w14:textId="77777777" w:rsidR="00D6529A" w:rsidRDefault="00D6529A" w:rsidP="002621CA">
            <w:pPr>
              <w:jc w:val="center"/>
            </w:pPr>
            <w:r>
              <w:t>11/14</w:t>
            </w:r>
          </w:p>
        </w:tc>
        <w:tc>
          <w:tcPr>
            <w:tcW w:w="1260" w:type="dxa"/>
          </w:tcPr>
          <w:p w14:paraId="3111A1D6" w14:textId="77777777" w:rsidR="00D6529A" w:rsidRDefault="00D6529A" w:rsidP="002621CA">
            <w:pPr>
              <w:jc w:val="center"/>
            </w:pPr>
            <w:r>
              <w:t>12/14</w:t>
            </w:r>
          </w:p>
        </w:tc>
      </w:tr>
      <w:tr w:rsidR="00D6529A" w14:paraId="09697DF7" w14:textId="77777777" w:rsidTr="002621CA">
        <w:tc>
          <w:tcPr>
            <w:tcW w:w="7578" w:type="dxa"/>
            <w:tcBorders>
              <w:left w:val="single" w:sz="8" w:space="0" w:color="4F81BD"/>
              <w:right w:val="single" w:sz="8" w:space="0" w:color="4F81BD"/>
            </w:tcBorders>
          </w:tcPr>
          <w:p w14:paraId="4CB7E892" w14:textId="77777777" w:rsidR="00D6529A" w:rsidRDefault="00D6529A" w:rsidP="002621CA">
            <w:pPr>
              <w:tabs>
                <w:tab w:val="num" w:pos="720"/>
              </w:tabs>
            </w:pPr>
            <w:r>
              <w:t>Reworded medically necessary timeframes.  No criteria changes made</w:t>
            </w:r>
          </w:p>
        </w:tc>
        <w:tc>
          <w:tcPr>
            <w:tcW w:w="810" w:type="dxa"/>
          </w:tcPr>
          <w:p w14:paraId="46620B7F" w14:textId="77777777" w:rsidR="00D6529A" w:rsidRDefault="00D6529A" w:rsidP="002621CA">
            <w:pPr>
              <w:jc w:val="center"/>
            </w:pPr>
            <w:r>
              <w:t>01/15</w:t>
            </w:r>
          </w:p>
        </w:tc>
        <w:tc>
          <w:tcPr>
            <w:tcW w:w="1260" w:type="dxa"/>
            <w:tcBorders>
              <w:left w:val="single" w:sz="8" w:space="0" w:color="4F81BD"/>
              <w:right w:val="single" w:sz="8" w:space="0" w:color="4F81BD"/>
            </w:tcBorders>
          </w:tcPr>
          <w:p w14:paraId="3A5FD48A" w14:textId="77777777" w:rsidR="00D6529A" w:rsidRDefault="00D6529A" w:rsidP="002621CA">
            <w:pPr>
              <w:jc w:val="center"/>
            </w:pPr>
          </w:p>
        </w:tc>
      </w:tr>
      <w:tr w:rsidR="00D6529A" w14:paraId="10688706" w14:textId="77777777" w:rsidTr="002621CA">
        <w:tc>
          <w:tcPr>
            <w:tcW w:w="7578" w:type="dxa"/>
            <w:tcBorders>
              <w:top w:val="single" w:sz="8" w:space="0" w:color="4F81BD"/>
              <w:left w:val="single" w:sz="8" w:space="0" w:color="4F81BD"/>
              <w:bottom w:val="single" w:sz="8" w:space="0" w:color="4F81BD"/>
              <w:right w:val="single" w:sz="8" w:space="0" w:color="4F81BD"/>
            </w:tcBorders>
          </w:tcPr>
          <w:p w14:paraId="2F121950" w14:textId="77777777" w:rsidR="00D6529A" w:rsidRDefault="00D6529A" w:rsidP="002621CA">
            <w:pPr>
              <w:tabs>
                <w:tab w:val="num" w:pos="720"/>
              </w:tabs>
            </w:pPr>
            <w:r>
              <w:t>Reformatted criteria, adopted new template</w:t>
            </w:r>
          </w:p>
          <w:p w14:paraId="6461EED2" w14:textId="77777777" w:rsidR="00D6529A" w:rsidRDefault="00D6529A" w:rsidP="002621CA">
            <w:pPr>
              <w:tabs>
                <w:tab w:val="num" w:pos="720"/>
              </w:tabs>
            </w:pPr>
            <w:r>
              <w:t>Reference reviewed and no criteria changes made</w:t>
            </w:r>
          </w:p>
        </w:tc>
        <w:tc>
          <w:tcPr>
            <w:tcW w:w="810" w:type="dxa"/>
            <w:tcBorders>
              <w:top w:val="single" w:sz="8" w:space="0" w:color="4F81BD"/>
              <w:bottom w:val="single" w:sz="8" w:space="0" w:color="4F81BD"/>
            </w:tcBorders>
          </w:tcPr>
          <w:p w14:paraId="1C13E98C" w14:textId="77777777" w:rsidR="00D6529A" w:rsidRDefault="00D6529A" w:rsidP="002621CA">
            <w:pPr>
              <w:jc w:val="center"/>
            </w:pPr>
            <w:r>
              <w:t>12/15</w:t>
            </w:r>
          </w:p>
        </w:tc>
        <w:tc>
          <w:tcPr>
            <w:tcW w:w="1260" w:type="dxa"/>
            <w:tcBorders>
              <w:top w:val="single" w:sz="8" w:space="0" w:color="4F81BD"/>
              <w:left w:val="single" w:sz="8" w:space="0" w:color="4F81BD"/>
              <w:bottom w:val="single" w:sz="8" w:space="0" w:color="4F81BD"/>
              <w:right w:val="single" w:sz="8" w:space="0" w:color="4F81BD"/>
            </w:tcBorders>
          </w:tcPr>
          <w:p w14:paraId="42F371FB" w14:textId="77777777" w:rsidR="00D6529A" w:rsidRDefault="00D6529A" w:rsidP="002621CA">
            <w:pPr>
              <w:jc w:val="center"/>
            </w:pPr>
            <w:r>
              <w:t>12/15</w:t>
            </w:r>
          </w:p>
        </w:tc>
      </w:tr>
      <w:tr w:rsidR="000B125A" w14:paraId="2FA8285B" w14:textId="77777777" w:rsidTr="002621CA">
        <w:tc>
          <w:tcPr>
            <w:tcW w:w="7578" w:type="dxa"/>
            <w:tcBorders>
              <w:top w:val="single" w:sz="8" w:space="0" w:color="4F81BD"/>
              <w:left w:val="single" w:sz="8" w:space="0" w:color="4F81BD"/>
              <w:bottom w:val="single" w:sz="8" w:space="0" w:color="4F81BD"/>
              <w:right w:val="single" w:sz="8" w:space="0" w:color="4F81BD"/>
            </w:tcBorders>
          </w:tcPr>
          <w:p w14:paraId="1510A6AE" w14:textId="77777777" w:rsidR="000B125A" w:rsidRDefault="00DA65D3" w:rsidP="002621CA">
            <w:pPr>
              <w:tabs>
                <w:tab w:val="num" w:pos="720"/>
              </w:tabs>
            </w:pPr>
            <w:r>
              <w:t xml:space="preserve">Integrated with Health Net acupuncture policy. Removed (adults and children) from I.A; removed acute post-operative dental pain; maintained neck and shoulder pain, and only osteoarthritis of knee.  Did not incorporate list of investigational procedures since it is not all inclusive.  </w:t>
            </w:r>
          </w:p>
        </w:tc>
        <w:tc>
          <w:tcPr>
            <w:tcW w:w="810" w:type="dxa"/>
            <w:tcBorders>
              <w:top w:val="single" w:sz="8" w:space="0" w:color="4F81BD"/>
              <w:bottom w:val="single" w:sz="8" w:space="0" w:color="4F81BD"/>
            </w:tcBorders>
          </w:tcPr>
          <w:p w14:paraId="3AD72F36" w14:textId="77777777" w:rsidR="000B125A" w:rsidRDefault="00DA65D3" w:rsidP="002621CA">
            <w:pPr>
              <w:jc w:val="center"/>
            </w:pPr>
            <w:r>
              <w:t>10/16</w:t>
            </w:r>
          </w:p>
        </w:tc>
        <w:tc>
          <w:tcPr>
            <w:tcW w:w="1260" w:type="dxa"/>
            <w:tcBorders>
              <w:top w:val="single" w:sz="8" w:space="0" w:color="4F81BD"/>
              <w:left w:val="single" w:sz="8" w:space="0" w:color="4F81BD"/>
              <w:bottom w:val="single" w:sz="8" w:space="0" w:color="4F81BD"/>
              <w:right w:val="single" w:sz="8" w:space="0" w:color="4F81BD"/>
            </w:tcBorders>
          </w:tcPr>
          <w:p w14:paraId="6C3B07D3" w14:textId="77777777" w:rsidR="000B125A" w:rsidRDefault="00990A52" w:rsidP="002621CA">
            <w:pPr>
              <w:jc w:val="center"/>
            </w:pPr>
            <w:r>
              <w:t>11/16</w:t>
            </w:r>
          </w:p>
        </w:tc>
      </w:tr>
      <w:tr w:rsidR="00766669" w14:paraId="61111450" w14:textId="77777777" w:rsidTr="002621CA">
        <w:tc>
          <w:tcPr>
            <w:tcW w:w="7578" w:type="dxa"/>
            <w:tcBorders>
              <w:top w:val="single" w:sz="8" w:space="0" w:color="4F81BD"/>
              <w:left w:val="single" w:sz="8" w:space="0" w:color="4F81BD"/>
              <w:bottom w:val="single" w:sz="8" w:space="0" w:color="4F81BD"/>
              <w:right w:val="single" w:sz="8" w:space="0" w:color="4F81BD"/>
            </w:tcBorders>
          </w:tcPr>
          <w:p w14:paraId="61210AE4" w14:textId="77777777" w:rsidR="00766669" w:rsidRDefault="0053265C" w:rsidP="002621CA">
            <w:pPr>
              <w:tabs>
                <w:tab w:val="num" w:pos="720"/>
              </w:tabs>
            </w:pPr>
            <w:r>
              <w:t>References reviewed and updated</w:t>
            </w:r>
            <w:r w:rsidR="00FB6BB5">
              <w:t xml:space="preserve">. Changed continuation criteria to remove statement that continued treatment after the initial 2 months is not medically necessary. </w:t>
            </w:r>
          </w:p>
        </w:tc>
        <w:tc>
          <w:tcPr>
            <w:tcW w:w="810" w:type="dxa"/>
            <w:tcBorders>
              <w:top w:val="single" w:sz="8" w:space="0" w:color="4F81BD"/>
              <w:bottom w:val="single" w:sz="8" w:space="0" w:color="4F81BD"/>
            </w:tcBorders>
          </w:tcPr>
          <w:p w14:paraId="4BABB2E1" w14:textId="77777777" w:rsidR="00766669" w:rsidRDefault="00766669" w:rsidP="002621CA">
            <w:pPr>
              <w:jc w:val="center"/>
            </w:pPr>
            <w:r>
              <w:t>11/17</w:t>
            </w:r>
          </w:p>
        </w:tc>
        <w:tc>
          <w:tcPr>
            <w:tcW w:w="1260" w:type="dxa"/>
            <w:tcBorders>
              <w:top w:val="single" w:sz="8" w:space="0" w:color="4F81BD"/>
              <w:left w:val="single" w:sz="8" w:space="0" w:color="4F81BD"/>
              <w:bottom w:val="single" w:sz="8" w:space="0" w:color="4F81BD"/>
              <w:right w:val="single" w:sz="8" w:space="0" w:color="4F81BD"/>
            </w:tcBorders>
          </w:tcPr>
          <w:p w14:paraId="14FA4AB7" w14:textId="77777777" w:rsidR="00766669" w:rsidRDefault="00116F5A" w:rsidP="002621CA">
            <w:pPr>
              <w:jc w:val="center"/>
            </w:pPr>
            <w:r>
              <w:t>11/17</w:t>
            </w:r>
          </w:p>
        </w:tc>
      </w:tr>
      <w:tr w:rsidR="009B2972" w14:paraId="400E981F" w14:textId="77777777" w:rsidTr="002621CA">
        <w:tc>
          <w:tcPr>
            <w:tcW w:w="7578" w:type="dxa"/>
            <w:tcBorders>
              <w:top w:val="single" w:sz="8" w:space="0" w:color="4F81BD"/>
              <w:left w:val="single" w:sz="8" w:space="0" w:color="4F81BD"/>
              <w:bottom w:val="single" w:sz="8" w:space="0" w:color="4F81BD"/>
              <w:right w:val="single" w:sz="8" w:space="0" w:color="4F81BD"/>
            </w:tcBorders>
          </w:tcPr>
          <w:p w14:paraId="674525FD" w14:textId="77777777" w:rsidR="009B2972" w:rsidRDefault="00C210C2" w:rsidP="002621CA">
            <w:pPr>
              <w:tabs>
                <w:tab w:val="num" w:pos="720"/>
              </w:tabs>
            </w:pPr>
            <w:r>
              <w:t>References reviewed and updated.</w:t>
            </w:r>
          </w:p>
        </w:tc>
        <w:tc>
          <w:tcPr>
            <w:tcW w:w="810" w:type="dxa"/>
            <w:tcBorders>
              <w:top w:val="single" w:sz="8" w:space="0" w:color="4F81BD"/>
              <w:bottom w:val="single" w:sz="8" w:space="0" w:color="4F81BD"/>
            </w:tcBorders>
          </w:tcPr>
          <w:p w14:paraId="62CF4E73" w14:textId="77777777" w:rsidR="009B2972" w:rsidRDefault="009B2972" w:rsidP="002621CA">
            <w:pPr>
              <w:jc w:val="center"/>
            </w:pPr>
            <w:r>
              <w:t>09/18</w:t>
            </w:r>
          </w:p>
        </w:tc>
        <w:tc>
          <w:tcPr>
            <w:tcW w:w="1260" w:type="dxa"/>
            <w:tcBorders>
              <w:top w:val="single" w:sz="8" w:space="0" w:color="4F81BD"/>
              <w:left w:val="single" w:sz="8" w:space="0" w:color="4F81BD"/>
              <w:bottom w:val="single" w:sz="8" w:space="0" w:color="4F81BD"/>
              <w:right w:val="single" w:sz="8" w:space="0" w:color="4F81BD"/>
            </w:tcBorders>
          </w:tcPr>
          <w:p w14:paraId="46016F10" w14:textId="77777777" w:rsidR="009B2972" w:rsidRDefault="0021188B" w:rsidP="002621CA">
            <w:pPr>
              <w:jc w:val="center"/>
            </w:pPr>
            <w:r>
              <w:t>09/18</w:t>
            </w:r>
          </w:p>
        </w:tc>
      </w:tr>
      <w:tr w:rsidR="0037165F" w14:paraId="41B583C4" w14:textId="77777777" w:rsidTr="002621CA">
        <w:tc>
          <w:tcPr>
            <w:tcW w:w="7578" w:type="dxa"/>
            <w:tcBorders>
              <w:top w:val="single" w:sz="8" w:space="0" w:color="4F81BD"/>
              <w:left w:val="single" w:sz="8" w:space="0" w:color="4F81BD"/>
              <w:bottom w:val="single" w:sz="8" w:space="0" w:color="4F81BD"/>
              <w:right w:val="single" w:sz="8" w:space="0" w:color="4F81BD"/>
            </w:tcBorders>
          </w:tcPr>
          <w:p w14:paraId="63ED85CF" w14:textId="78C77EC2" w:rsidR="0037165F" w:rsidRDefault="00C963D8" w:rsidP="002621CA">
            <w:pPr>
              <w:tabs>
                <w:tab w:val="num" w:pos="720"/>
              </w:tabs>
            </w:pPr>
            <w:r>
              <w:t>References reviewed and updated.</w:t>
            </w:r>
            <w:r w:rsidR="00B36B86">
              <w:t xml:space="preserve">  Specialist review.</w:t>
            </w:r>
          </w:p>
        </w:tc>
        <w:tc>
          <w:tcPr>
            <w:tcW w:w="810" w:type="dxa"/>
            <w:tcBorders>
              <w:top w:val="single" w:sz="8" w:space="0" w:color="4F81BD"/>
              <w:bottom w:val="single" w:sz="8" w:space="0" w:color="4F81BD"/>
            </w:tcBorders>
          </w:tcPr>
          <w:p w14:paraId="2A333FC6" w14:textId="3093AF6E" w:rsidR="0037165F" w:rsidRDefault="00C963D8" w:rsidP="002621CA">
            <w:pPr>
              <w:jc w:val="center"/>
            </w:pPr>
            <w:r>
              <w:t>08/19</w:t>
            </w:r>
          </w:p>
        </w:tc>
        <w:tc>
          <w:tcPr>
            <w:tcW w:w="1260" w:type="dxa"/>
            <w:tcBorders>
              <w:top w:val="single" w:sz="8" w:space="0" w:color="4F81BD"/>
              <w:left w:val="single" w:sz="8" w:space="0" w:color="4F81BD"/>
              <w:bottom w:val="single" w:sz="8" w:space="0" w:color="4F81BD"/>
              <w:right w:val="single" w:sz="8" w:space="0" w:color="4F81BD"/>
            </w:tcBorders>
          </w:tcPr>
          <w:p w14:paraId="0B226626" w14:textId="647E1219" w:rsidR="0037165F" w:rsidRDefault="008E63B6" w:rsidP="002621CA">
            <w:pPr>
              <w:jc w:val="center"/>
            </w:pPr>
            <w:r>
              <w:t>09/19</w:t>
            </w:r>
          </w:p>
        </w:tc>
      </w:tr>
    </w:tbl>
    <w:p w14:paraId="0AEEB8E7" w14:textId="77777777" w:rsidR="006D4BAF" w:rsidRDefault="006D4BAF" w:rsidP="00963062">
      <w:pPr>
        <w:pStyle w:val="Heading3"/>
        <w:sectPr w:rsidR="006D4BAF" w:rsidSect="00480C09">
          <w:type w:val="continuous"/>
          <w:pgSz w:w="12240" w:h="15840" w:code="1"/>
          <w:pgMar w:top="1440" w:right="1440" w:bottom="1440" w:left="1440" w:header="576" w:footer="288" w:gutter="0"/>
          <w:cols w:space="720"/>
          <w:titlePg/>
          <w:docGrid w:linePitch="360"/>
        </w:sectPr>
      </w:pPr>
    </w:p>
    <w:p w14:paraId="03382F04" w14:textId="77777777" w:rsidR="00D6529A" w:rsidRPr="00B777AF" w:rsidRDefault="00116F5A" w:rsidP="00963062">
      <w:pPr>
        <w:pStyle w:val="Heading3"/>
      </w:pPr>
      <w:r>
        <w:t>References</w:t>
      </w:r>
    </w:p>
    <w:p w14:paraId="1D706FAB" w14:textId="1A170155" w:rsidR="00D6529A" w:rsidRDefault="00D6529A" w:rsidP="00847956">
      <w:pPr>
        <w:numPr>
          <w:ilvl w:val="0"/>
          <w:numId w:val="25"/>
        </w:numPr>
        <w:ind w:left="360"/>
        <w:rPr>
          <w:bCs/>
        </w:rPr>
      </w:pPr>
      <w:r w:rsidRPr="00714DC9">
        <w:rPr>
          <w:bCs/>
        </w:rPr>
        <w:t>Ahn AC</w:t>
      </w:r>
      <w:r>
        <w:rPr>
          <w:bCs/>
        </w:rPr>
        <w:t xml:space="preserve">.  Acupuncture.  In: UpToDate, Aronson MD (Ed), UpToDate, Waltham, MA, 2014.  </w:t>
      </w:r>
      <w:r w:rsidR="008E281F">
        <w:rPr>
          <w:bCs/>
        </w:rPr>
        <w:t xml:space="preserve">Accessed </w:t>
      </w:r>
      <w:r w:rsidR="00BF49B4">
        <w:rPr>
          <w:bCs/>
        </w:rPr>
        <w:t>September</w:t>
      </w:r>
      <w:r w:rsidR="00CE6859">
        <w:rPr>
          <w:bCs/>
        </w:rPr>
        <w:t xml:space="preserve"> 21</w:t>
      </w:r>
      <w:r w:rsidR="00BF49B4">
        <w:rPr>
          <w:bCs/>
        </w:rPr>
        <w:t>, 201</w:t>
      </w:r>
      <w:r w:rsidR="00CE6859">
        <w:rPr>
          <w:bCs/>
        </w:rPr>
        <w:t>9</w:t>
      </w:r>
      <w:r w:rsidR="008E281F">
        <w:rPr>
          <w:bCs/>
        </w:rPr>
        <w:t>.</w:t>
      </w:r>
    </w:p>
    <w:p w14:paraId="7D78A3F9" w14:textId="77777777" w:rsidR="00D6529A" w:rsidRDefault="00D6529A" w:rsidP="00847956">
      <w:pPr>
        <w:numPr>
          <w:ilvl w:val="0"/>
          <w:numId w:val="25"/>
        </w:numPr>
        <w:ind w:left="360"/>
        <w:rPr>
          <w:bCs/>
        </w:rPr>
      </w:pPr>
      <w:r>
        <w:rPr>
          <w:bCs/>
        </w:rPr>
        <w:t xml:space="preserve">American Society of Anesthesiologists.  Practice guidelines for chronic pain management.  Anesthesiology 2010; 112:1-1.  </w:t>
      </w:r>
    </w:p>
    <w:p w14:paraId="183788C9" w14:textId="77777777" w:rsidR="00D6529A" w:rsidRDefault="00D6529A" w:rsidP="00847956">
      <w:pPr>
        <w:numPr>
          <w:ilvl w:val="0"/>
          <w:numId w:val="25"/>
        </w:numPr>
        <w:ind w:left="360"/>
        <w:rPr>
          <w:bCs/>
        </w:rPr>
      </w:pPr>
      <w:r>
        <w:rPr>
          <w:bCs/>
        </w:rPr>
        <w:t xml:space="preserve">Aukerman G, Knutson D, Miser WF.  Management of the acute migraine headache.  </w:t>
      </w:r>
      <w:r w:rsidRPr="001244C9">
        <w:rPr>
          <w:bCs/>
          <w:i/>
        </w:rPr>
        <w:t>Am Fam Physician.</w:t>
      </w:r>
      <w:r>
        <w:rPr>
          <w:bCs/>
        </w:rPr>
        <w:t xml:space="preserve"> 2002 Dec 1;66(11):2123-2131.  </w:t>
      </w:r>
    </w:p>
    <w:p w14:paraId="25874E47" w14:textId="281B809C" w:rsidR="00D6529A" w:rsidRDefault="00D6529A" w:rsidP="00847956">
      <w:pPr>
        <w:numPr>
          <w:ilvl w:val="0"/>
          <w:numId w:val="25"/>
        </w:numPr>
        <w:ind w:left="360"/>
        <w:rPr>
          <w:bCs/>
        </w:rPr>
      </w:pPr>
      <w:r>
        <w:rPr>
          <w:bCs/>
        </w:rPr>
        <w:t>Hayes Health Technology Brief.  Acupuncture for treatment of chronic obstructive pulmonary disease (COPD).  Lansdale, PA: Hayes, Inc. ©2006-2014 Winifred S. Hayes, Inc. August 5, 2013, updated June 30, 2015</w:t>
      </w:r>
      <w:r w:rsidR="00F53C28">
        <w:rPr>
          <w:bCs/>
        </w:rPr>
        <w:t>. Archived Sept 5,2016.</w:t>
      </w:r>
    </w:p>
    <w:p w14:paraId="52D2C9AA" w14:textId="6D236533" w:rsidR="00D6529A" w:rsidRDefault="00D6529A" w:rsidP="00847956">
      <w:pPr>
        <w:numPr>
          <w:ilvl w:val="0"/>
          <w:numId w:val="25"/>
        </w:numPr>
        <w:ind w:left="360"/>
        <w:rPr>
          <w:bCs/>
        </w:rPr>
      </w:pPr>
      <w:r>
        <w:rPr>
          <w:bCs/>
        </w:rPr>
        <w:t xml:space="preserve">Hayes </w:t>
      </w:r>
      <w:r w:rsidR="00F53C28">
        <w:rPr>
          <w:bCs/>
        </w:rPr>
        <w:t xml:space="preserve">Health </w:t>
      </w:r>
      <w:r>
        <w:rPr>
          <w:bCs/>
        </w:rPr>
        <w:t xml:space="preserve">Technology </w:t>
      </w:r>
      <w:r w:rsidR="00F53C28">
        <w:rPr>
          <w:bCs/>
        </w:rPr>
        <w:t>Assessment</w:t>
      </w:r>
      <w:r>
        <w:rPr>
          <w:bCs/>
        </w:rPr>
        <w:t>. Acupuncture for treatment of shoulder pain</w:t>
      </w:r>
      <w:r w:rsidR="00F53C28">
        <w:rPr>
          <w:bCs/>
        </w:rPr>
        <w:t xml:space="preserve"> or chronic neck pain:  A review of the reviews</w:t>
      </w:r>
      <w:r>
        <w:rPr>
          <w:bCs/>
        </w:rPr>
        <w:t xml:space="preserve">.  Lansdale, PA: Hayes, Inc. ©2006-2014 Winifred S. Hayes, Inc. </w:t>
      </w:r>
      <w:r w:rsidR="008A0A22">
        <w:rPr>
          <w:bCs/>
        </w:rPr>
        <w:t>August 22, 2018.</w:t>
      </w:r>
    </w:p>
    <w:p w14:paraId="7B8F70B8" w14:textId="2B296668" w:rsidR="00D6529A" w:rsidRDefault="00D6529A" w:rsidP="00847956">
      <w:pPr>
        <w:numPr>
          <w:ilvl w:val="0"/>
          <w:numId w:val="25"/>
        </w:numPr>
        <w:ind w:left="360"/>
        <w:rPr>
          <w:bCs/>
        </w:rPr>
      </w:pPr>
      <w:r>
        <w:rPr>
          <w:bCs/>
        </w:rPr>
        <w:t xml:space="preserve">Hayes </w:t>
      </w:r>
      <w:r w:rsidR="00F53C28">
        <w:rPr>
          <w:bCs/>
        </w:rPr>
        <w:t xml:space="preserve">Health </w:t>
      </w:r>
      <w:r>
        <w:rPr>
          <w:bCs/>
        </w:rPr>
        <w:t xml:space="preserve">Technology </w:t>
      </w:r>
      <w:r w:rsidR="00F53C28">
        <w:rPr>
          <w:bCs/>
        </w:rPr>
        <w:t>Assessment</w:t>
      </w:r>
      <w:r>
        <w:rPr>
          <w:bCs/>
        </w:rPr>
        <w:t xml:space="preserve">. Acupuncture for the </w:t>
      </w:r>
      <w:r w:rsidR="00F53C28">
        <w:rPr>
          <w:bCs/>
        </w:rPr>
        <w:t xml:space="preserve">prevention or </w:t>
      </w:r>
      <w:r>
        <w:rPr>
          <w:bCs/>
        </w:rPr>
        <w:t>treatment of nausea and vomiting</w:t>
      </w:r>
      <w:r w:rsidR="00F53C28">
        <w:rPr>
          <w:bCs/>
        </w:rPr>
        <w:t>: A review of the reviews</w:t>
      </w:r>
      <w:r>
        <w:rPr>
          <w:bCs/>
        </w:rPr>
        <w:t xml:space="preserve">.  Lansdale, PA: Hayes, Inc. ©2006-2014 Winifred S. Hayes, Inc. </w:t>
      </w:r>
      <w:r w:rsidR="00F53C28">
        <w:rPr>
          <w:bCs/>
        </w:rPr>
        <w:t xml:space="preserve">Sept 19, </w:t>
      </w:r>
      <w:r w:rsidR="006F14B9">
        <w:rPr>
          <w:bCs/>
        </w:rPr>
        <w:t>2018.</w:t>
      </w:r>
      <w:r>
        <w:rPr>
          <w:bCs/>
        </w:rPr>
        <w:t xml:space="preserve"> </w:t>
      </w:r>
    </w:p>
    <w:p w14:paraId="48E44D9C" w14:textId="14930095" w:rsidR="00C210C2" w:rsidRDefault="00C210C2" w:rsidP="00F53C28">
      <w:pPr>
        <w:numPr>
          <w:ilvl w:val="0"/>
          <w:numId w:val="25"/>
        </w:numPr>
        <w:ind w:left="360"/>
        <w:rPr>
          <w:bCs/>
        </w:rPr>
      </w:pPr>
      <w:r w:rsidRPr="00F53C28">
        <w:rPr>
          <w:bCs/>
        </w:rPr>
        <w:t xml:space="preserve">Hayes </w:t>
      </w:r>
      <w:r w:rsidR="00AB6B01">
        <w:rPr>
          <w:bCs/>
        </w:rPr>
        <w:t>Health</w:t>
      </w:r>
      <w:r w:rsidRPr="00F53C28">
        <w:rPr>
          <w:bCs/>
        </w:rPr>
        <w:t xml:space="preserve">l Technology </w:t>
      </w:r>
      <w:r w:rsidR="00AB6B01">
        <w:rPr>
          <w:bCs/>
        </w:rPr>
        <w:t>Assessment</w:t>
      </w:r>
      <w:r w:rsidRPr="00F53C28">
        <w:rPr>
          <w:bCs/>
        </w:rPr>
        <w:t>. Acupuncture for treatment of fibromyalgia. Lansdale, PA: Hayes, Inc. © 2006-2014 Winifred S. Hayes, Inc. August 28, 2018.</w:t>
      </w:r>
    </w:p>
    <w:p w14:paraId="15495FE2" w14:textId="77777777" w:rsidR="00D6529A" w:rsidRDefault="00D6529A" w:rsidP="00F53C28">
      <w:pPr>
        <w:numPr>
          <w:ilvl w:val="0"/>
          <w:numId w:val="25"/>
        </w:numPr>
        <w:ind w:left="360"/>
        <w:rPr>
          <w:bCs/>
        </w:rPr>
      </w:pPr>
      <w:r>
        <w:rPr>
          <w:bCs/>
        </w:rPr>
        <w:t xml:space="preserve">Hochberg MC, et al.  American College of Rheumatology 2012 recommendations for the use of nonpharmacologic and pharmacologic therapies in osteoarthritis of the hand, hip, and knee.  </w:t>
      </w:r>
      <w:r w:rsidRPr="008E63B6">
        <w:rPr>
          <w:bCs/>
        </w:rPr>
        <w:t>Arthritis Care &amp; Research</w:t>
      </w:r>
      <w:r>
        <w:rPr>
          <w:bCs/>
        </w:rPr>
        <w:t xml:space="preserve">. 2012 April 4;64(4):465-474.  </w:t>
      </w:r>
    </w:p>
    <w:p w14:paraId="3AF01793" w14:textId="77777777" w:rsidR="00D6529A" w:rsidRPr="00087613" w:rsidRDefault="00D6529A" w:rsidP="00847956">
      <w:pPr>
        <w:numPr>
          <w:ilvl w:val="0"/>
          <w:numId w:val="25"/>
        </w:numPr>
        <w:ind w:left="360"/>
        <w:rPr>
          <w:bCs/>
        </w:rPr>
      </w:pPr>
      <w:r>
        <w:rPr>
          <w:bCs/>
        </w:rPr>
        <w:t xml:space="preserve">Kelly RB.  Acupuncture for pain.  </w:t>
      </w:r>
      <w:r>
        <w:rPr>
          <w:bCs/>
          <w:i/>
        </w:rPr>
        <w:t>Am Fam Physician.</w:t>
      </w:r>
      <w:r>
        <w:rPr>
          <w:bCs/>
        </w:rPr>
        <w:t xml:space="preserve">  2009 Sep 1;80(5):481-484.  </w:t>
      </w:r>
    </w:p>
    <w:p w14:paraId="27C53E44" w14:textId="5BB3D00D" w:rsidR="00D6529A" w:rsidRDefault="00D6529A" w:rsidP="00847956">
      <w:pPr>
        <w:numPr>
          <w:ilvl w:val="0"/>
          <w:numId w:val="25"/>
        </w:numPr>
        <w:ind w:left="360"/>
        <w:rPr>
          <w:bCs/>
        </w:rPr>
      </w:pPr>
      <w:r>
        <w:rPr>
          <w:bCs/>
        </w:rPr>
        <w:t xml:space="preserve">Kemper KJ.  </w:t>
      </w:r>
      <w:r w:rsidR="003B0831">
        <w:rPr>
          <w:bCs/>
        </w:rPr>
        <w:t>C</w:t>
      </w:r>
      <w:r>
        <w:rPr>
          <w:bCs/>
        </w:rPr>
        <w:t>omplementary and alternative medicine in pediatrics.  In: UpToDate, Drutz JE (Ed), UpToDate, Waltham, MA, 2015</w:t>
      </w:r>
      <w:r w:rsidR="00ED5028">
        <w:rPr>
          <w:bCs/>
        </w:rPr>
        <w:t xml:space="preserve">. Accessed </w:t>
      </w:r>
      <w:r w:rsidR="003B0831">
        <w:rPr>
          <w:bCs/>
        </w:rPr>
        <w:t xml:space="preserve">September </w:t>
      </w:r>
      <w:r w:rsidR="00544BA6">
        <w:rPr>
          <w:bCs/>
        </w:rPr>
        <w:t>21</w:t>
      </w:r>
      <w:r w:rsidR="003B0831">
        <w:rPr>
          <w:bCs/>
        </w:rPr>
        <w:t xml:space="preserve"> 201</w:t>
      </w:r>
      <w:r w:rsidR="00544BA6">
        <w:rPr>
          <w:bCs/>
        </w:rPr>
        <w:t>9</w:t>
      </w:r>
      <w:r w:rsidR="00ED5028">
        <w:rPr>
          <w:bCs/>
        </w:rPr>
        <w:t>.</w:t>
      </w:r>
    </w:p>
    <w:p w14:paraId="54F284B4" w14:textId="77777777" w:rsidR="00D6529A" w:rsidRDefault="00D6529A" w:rsidP="00847956">
      <w:pPr>
        <w:numPr>
          <w:ilvl w:val="0"/>
          <w:numId w:val="25"/>
        </w:numPr>
        <w:ind w:left="360"/>
      </w:pPr>
      <w:r>
        <w:lastRenderedPageBreak/>
        <w:t xml:space="preserve">Linde K, Allais G, Brinkhaus B, Manheimer E, Vickers A, White AR. Acupuncture for migraine prophylaxis. </w:t>
      </w:r>
      <w:r>
        <w:rPr>
          <w:i/>
          <w:iCs/>
        </w:rPr>
        <w:t>Cochrane Database Syst Rev</w:t>
      </w:r>
      <w:r>
        <w:t>. 2009;(1):CD001218.</w:t>
      </w:r>
    </w:p>
    <w:p w14:paraId="76D9CA99" w14:textId="77777777" w:rsidR="00D6529A" w:rsidRPr="0083570C" w:rsidRDefault="00D6529A" w:rsidP="00847956">
      <w:pPr>
        <w:numPr>
          <w:ilvl w:val="0"/>
          <w:numId w:val="25"/>
        </w:numPr>
        <w:ind w:left="360"/>
        <w:rPr>
          <w:bCs/>
        </w:rPr>
      </w:pPr>
      <w:r>
        <w:t xml:space="preserve">MacPherson H, Tilbrook H, Richmond S, et al. Alexander Technique Lessons or Acupuncture Sessions for Persons With Chronic Neck Pain. </w:t>
      </w:r>
      <w:r>
        <w:rPr>
          <w:i/>
        </w:rPr>
        <w:t>Annals of Internal Medicine. 2015 November 3; 163 (9).</w:t>
      </w:r>
    </w:p>
    <w:p w14:paraId="1C3E4E4A" w14:textId="77777777" w:rsidR="00D6529A" w:rsidRDefault="00D6529A" w:rsidP="00847956">
      <w:pPr>
        <w:numPr>
          <w:ilvl w:val="0"/>
          <w:numId w:val="25"/>
        </w:numPr>
        <w:ind w:left="360"/>
        <w:rPr>
          <w:bCs/>
        </w:rPr>
      </w:pPr>
      <w:r>
        <w:rPr>
          <w:bCs/>
        </w:rPr>
        <w:t xml:space="preserve">National Center for Complementary and Alternative Medicine (NCCAM).  Acupuncture for pain.  Last updated </w:t>
      </w:r>
      <w:r w:rsidR="00B134AB">
        <w:rPr>
          <w:bCs/>
        </w:rPr>
        <w:t>January 2016</w:t>
      </w:r>
      <w:r>
        <w:rPr>
          <w:bCs/>
        </w:rPr>
        <w:t xml:space="preserve">.  </w:t>
      </w:r>
      <w:hyperlink r:id="rId15" w:history="1">
        <w:r w:rsidRPr="003D0968">
          <w:rPr>
            <w:rStyle w:val="Hyperlink"/>
            <w:bCs/>
          </w:rPr>
          <w:t>http://</w:t>
        </w:r>
        <w:r w:rsidRPr="003D0968">
          <w:rPr>
            <w:rStyle w:val="Hyperlink"/>
            <w:bCs/>
          </w:rPr>
          <w:t>n</w:t>
        </w:r>
        <w:r w:rsidRPr="003D0968">
          <w:rPr>
            <w:rStyle w:val="Hyperlink"/>
            <w:bCs/>
          </w:rPr>
          <w:t>ccam.nih.gov/health/acupuncture/acupuncture-for-pain.htm?nav=gsa</w:t>
        </w:r>
      </w:hyperlink>
      <w:r>
        <w:rPr>
          <w:bCs/>
        </w:rPr>
        <w:t xml:space="preserve"> </w:t>
      </w:r>
    </w:p>
    <w:p w14:paraId="1D4E265B" w14:textId="24D0834A" w:rsidR="00D6529A" w:rsidRDefault="00D6529A" w:rsidP="00F956E2">
      <w:pPr>
        <w:numPr>
          <w:ilvl w:val="0"/>
          <w:numId w:val="25"/>
        </w:numPr>
        <w:ind w:left="360"/>
        <w:rPr>
          <w:bCs/>
        </w:rPr>
      </w:pPr>
      <w:r>
        <w:rPr>
          <w:bCs/>
        </w:rPr>
        <w:t>National Headache Foundation. Chronic Mi</w:t>
      </w:r>
      <w:r w:rsidR="00C0526E">
        <w:rPr>
          <w:bCs/>
        </w:rPr>
        <w:t>graine,</w:t>
      </w:r>
      <w:r>
        <w:rPr>
          <w:bCs/>
        </w:rPr>
        <w:t xml:space="preserve"> 2013.  </w:t>
      </w:r>
      <w:hyperlink r:id="rId16" w:history="1">
        <w:r w:rsidR="00CB3AA9" w:rsidRPr="00551D50">
          <w:rPr>
            <w:rStyle w:val="Hyperlink"/>
            <w:bCs/>
          </w:rPr>
          <w:t>http://www.headaches.org/2007/10/25</w:t>
        </w:r>
        <w:bookmarkStart w:id="2" w:name="_GoBack"/>
        <w:bookmarkEnd w:id="2"/>
        <w:r w:rsidR="00CB3AA9" w:rsidRPr="00551D50">
          <w:rPr>
            <w:rStyle w:val="Hyperlink"/>
            <w:bCs/>
          </w:rPr>
          <w:t>/</w:t>
        </w:r>
        <w:r w:rsidR="00CB3AA9" w:rsidRPr="00551D50">
          <w:rPr>
            <w:rStyle w:val="Hyperlink"/>
            <w:bCs/>
          </w:rPr>
          <w:t>chronic-migraine/</w:t>
        </w:r>
      </w:hyperlink>
    </w:p>
    <w:p w14:paraId="5A2230BF" w14:textId="77777777" w:rsidR="00D6529A" w:rsidRPr="00AB6B01" w:rsidRDefault="00D6529A" w:rsidP="00847956">
      <w:pPr>
        <w:numPr>
          <w:ilvl w:val="0"/>
          <w:numId w:val="25"/>
        </w:numPr>
        <w:ind w:left="360"/>
      </w:pPr>
      <w:r w:rsidRPr="005049DB">
        <w:rPr>
          <w:bCs/>
        </w:rPr>
        <w:t xml:space="preserve">Vickers AJ, Cronin AM, Maschino AC, et al. Acupuncture for chronic pain: individual patient data meta-analysis. </w:t>
      </w:r>
      <w:r w:rsidRPr="005049DB">
        <w:rPr>
          <w:bCs/>
          <w:i/>
          <w:iCs/>
        </w:rPr>
        <w:t>Archives of Internal Medicine.</w:t>
      </w:r>
      <w:r w:rsidRPr="005049DB">
        <w:rPr>
          <w:bCs/>
        </w:rPr>
        <w:t xml:space="preserve"> September 10, 2012; Epub ahead of print.</w:t>
      </w:r>
    </w:p>
    <w:p w14:paraId="7D48C3F7" w14:textId="77777777" w:rsidR="00493FB1" w:rsidRPr="007927CB" w:rsidRDefault="00AB6B01" w:rsidP="00493FB1">
      <w:pPr>
        <w:numPr>
          <w:ilvl w:val="0"/>
          <w:numId w:val="25"/>
        </w:numPr>
        <w:ind w:left="360"/>
      </w:pPr>
      <w:r w:rsidRPr="00493FB1">
        <w:rPr>
          <w:bCs/>
        </w:rPr>
        <w:t xml:space="preserve">Hayes Comparative Effectiveness Review of Acupuncture </w:t>
      </w:r>
      <w:r w:rsidR="0067573E" w:rsidRPr="00493FB1">
        <w:rPr>
          <w:bCs/>
        </w:rPr>
        <w:t>for the T</w:t>
      </w:r>
      <w:r w:rsidRPr="00493FB1">
        <w:rPr>
          <w:bCs/>
        </w:rPr>
        <w:t xml:space="preserve">reatment </w:t>
      </w:r>
      <w:r w:rsidR="0067573E" w:rsidRPr="00493FB1">
        <w:rPr>
          <w:bCs/>
        </w:rPr>
        <w:t>of E</w:t>
      </w:r>
      <w:r w:rsidRPr="00493FB1">
        <w:rPr>
          <w:bCs/>
        </w:rPr>
        <w:t xml:space="preserve">pisodic </w:t>
      </w:r>
      <w:r w:rsidR="0067573E" w:rsidRPr="00C963D8">
        <w:rPr>
          <w:bCs/>
        </w:rPr>
        <w:t>and Chronic T</w:t>
      </w:r>
      <w:r w:rsidRPr="00493FB1">
        <w:rPr>
          <w:bCs/>
        </w:rPr>
        <w:t xml:space="preserve">ension </w:t>
      </w:r>
      <w:r w:rsidR="0067573E" w:rsidRPr="00493FB1">
        <w:rPr>
          <w:bCs/>
        </w:rPr>
        <w:t>Headache and Episodic Migraine: A Review of the Reviews.  Sept 10, 2018</w:t>
      </w:r>
    </w:p>
    <w:p w14:paraId="1ADCE71E" w14:textId="6B92D7C9" w:rsidR="00343E6B" w:rsidRPr="00CB3624" w:rsidRDefault="00343E6B" w:rsidP="00493FB1">
      <w:pPr>
        <w:numPr>
          <w:ilvl w:val="0"/>
          <w:numId w:val="25"/>
        </w:numPr>
        <w:ind w:left="360"/>
      </w:pPr>
      <w:r w:rsidRPr="00493FB1">
        <w:rPr>
          <w:bCs/>
        </w:rPr>
        <w:t>American College of Obstetricians and Gynecologist.  ACOG Practice Bulletin. Num</w:t>
      </w:r>
      <w:r w:rsidRPr="00C963D8">
        <w:rPr>
          <w:bCs/>
        </w:rPr>
        <w:t xml:space="preserve">ber </w:t>
      </w:r>
      <w:r w:rsidRPr="00493FB1">
        <w:rPr>
          <w:bCs/>
        </w:rPr>
        <w:t>189.  Nausea and Vomiting of Pregnancy.  January 2019</w:t>
      </w:r>
    </w:p>
    <w:p w14:paraId="293A7FA2" w14:textId="4AAC6ABB" w:rsidR="00CB3624" w:rsidRPr="00963062" w:rsidRDefault="00CB3624" w:rsidP="00CB3624">
      <w:pPr>
        <w:numPr>
          <w:ilvl w:val="0"/>
          <w:numId w:val="25"/>
        </w:numPr>
        <w:ind w:left="360"/>
      </w:pPr>
      <w:r w:rsidRPr="00CB3624">
        <w:rPr>
          <w:bCs/>
        </w:rPr>
        <w:t>WHO  recommendation on interventions for the relief of nausea during pregnancy.  28 March 2018</w:t>
      </w:r>
      <w:r>
        <w:rPr>
          <w:bCs/>
        </w:rPr>
        <w:t xml:space="preserve">. </w:t>
      </w:r>
    </w:p>
    <w:p w14:paraId="6CB4F85C" w14:textId="77777777" w:rsidR="00D6529A" w:rsidRDefault="00D6529A" w:rsidP="00C75BD4">
      <w:pPr>
        <w:jc w:val="both"/>
        <w:rPr>
          <w:i/>
          <w:iCs/>
        </w:rPr>
      </w:pPr>
    </w:p>
    <w:p w14:paraId="75A8CD9E" w14:textId="77777777" w:rsidR="00847956" w:rsidRPr="00847956" w:rsidRDefault="00847956" w:rsidP="00847956">
      <w:pPr>
        <w:rPr>
          <w:rFonts w:eastAsia="Calibri"/>
          <w:b/>
          <w:u w:val="single"/>
        </w:rPr>
      </w:pPr>
      <w:bookmarkStart w:id="3" w:name="Important_Reminder"/>
      <w:r w:rsidRPr="00847956">
        <w:rPr>
          <w:rFonts w:eastAsia="Calibri"/>
          <w:b/>
          <w:bCs/>
          <w:u w:val="single"/>
        </w:rPr>
        <w:t>Important Reminder</w:t>
      </w:r>
      <w:bookmarkEnd w:id="3"/>
    </w:p>
    <w:p w14:paraId="67E50B53" w14:textId="77777777" w:rsidR="00847956" w:rsidRPr="00847956" w:rsidRDefault="00847956" w:rsidP="00847956">
      <w:pPr>
        <w:rPr>
          <w:rFonts w:eastAsia="Calibri"/>
        </w:rPr>
      </w:pPr>
      <w:r w:rsidRPr="00847956">
        <w:rPr>
          <w:rFonts w:eastAsia="Calibri"/>
        </w:rPr>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847956">
        <w:rPr>
          <w:rFonts w:eastAsia="Calibri"/>
          <w:iCs/>
        </w:rPr>
        <w:t>The Health Plan</w:t>
      </w:r>
      <w:r w:rsidRPr="00847956">
        <w:rPr>
          <w:rFonts w:eastAsia="Calibri"/>
        </w:rPr>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58F062C4" w14:textId="77777777" w:rsidR="00847956" w:rsidRPr="00847956" w:rsidRDefault="00847956" w:rsidP="00847956">
      <w:pPr>
        <w:rPr>
          <w:rFonts w:eastAsia="Calibri"/>
        </w:rPr>
      </w:pPr>
    </w:p>
    <w:p w14:paraId="1909DD76" w14:textId="77777777" w:rsidR="00847956" w:rsidRPr="00847956" w:rsidRDefault="00847956" w:rsidP="00847956">
      <w:pPr>
        <w:rPr>
          <w:rFonts w:eastAsia="Calibri"/>
        </w:rPr>
      </w:pPr>
      <w:r w:rsidRPr="00847956">
        <w:rPr>
          <w:rFonts w:eastAsia="Calibri"/>
        </w:rPr>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2A81ACB1" w14:textId="77777777" w:rsidR="00847956" w:rsidRPr="00847956" w:rsidRDefault="00847956" w:rsidP="00847956">
      <w:pPr>
        <w:rPr>
          <w:rFonts w:eastAsia="Calibri"/>
        </w:rPr>
      </w:pPr>
    </w:p>
    <w:p w14:paraId="4BCADE50" w14:textId="77777777" w:rsidR="00847956" w:rsidRPr="00146C6E" w:rsidRDefault="00847956" w:rsidP="00847956">
      <w:pPr>
        <w:rPr>
          <w:color w:val="002868"/>
        </w:rPr>
      </w:pPr>
      <w:r w:rsidRPr="00847956">
        <w:rPr>
          <w:rFonts w:eastAsia="Calibri"/>
        </w:rPr>
        <w:t xml:space="preserve">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w:t>
      </w:r>
      <w:r w:rsidRPr="00847956">
        <w:rPr>
          <w:rFonts w:eastAsia="Calibri"/>
        </w:rPr>
        <w:lastRenderedPageBreak/>
        <w:t>retains the right to change, amend or withdraw this clinical policy, and additional clinical policies may be developed and adopted as needed, at any time.</w:t>
      </w:r>
    </w:p>
    <w:p w14:paraId="40BF7F00" w14:textId="77777777" w:rsidR="00847956" w:rsidRPr="00847956" w:rsidRDefault="00847956" w:rsidP="00847956">
      <w:pPr>
        <w:rPr>
          <w:rFonts w:eastAsia="Calibri"/>
        </w:rPr>
      </w:pPr>
    </w:p>
    <w:p w14:paraId="0D77F7F9" w14:textId="77777777" w:rsidR="00847956" w:rsidRPr="00847956" w:rsidRDefault="00847956" w:rsidP="00847956">
      <w:pPr>
        <w:rPr>
          <w:rFonts w:eastAsia="Calibri"/>
        </w:rPr>
      </w:pPr>
      <w:r w:rsidRPr="00847956">
        <w:rPr>
          <w:rFonts w:eastAsia="Calibri"/>
        </w:rPr>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4E70BE2F" w14:textId="77777777" w:rsidR="00847956" w:rsidRPr="00847956" w:rsidRDefault="00847956" w:rsidP="00847956">
      <w:pPr>
        <w:rPr>
          <w:rFonts w:eastAsia="Calibri"/>
        </w:rPr>
      </w:pPr>
    </w:p>
    <w:p w14:paraId="563CE9CA" w14:textId="77777777" w:rsidR="00847956" w:rsidRPr="00847956" w:rsidRDefault="00847956" w:rsidP="00847956">
      <w:pPr>
        <w:rPr>
          <w:rFonts w:eastAsia="Calibri"/>
        </w:rPr>
      </w:pPr>
      <w:r w:rsidRPr="00847956">
        <w:rPr>
          <w:rFonts w:eastAsia="Calibri"/>
        </w:rPr>
        <w:t>Providers referred to in this clinical policy are independent contractors who exercise independent judgment and over whom the Health Plan has no control or right of control.  Providers are not agents or employees of the Health Plan.</w:t>
      </w:r>
    </w:p>
    <w:p w14:paraId="79E1C69E" w14:textId="77777777" w:rsidR="00847956" w:rsidRPr="00847956" w:rsidRDefault="00847956" w:rsidP="00847956">
      <w:pPr>
        <w:rPr>
          <w:rFonts w:eastAsia="Calibri"/>
        </w:rPr>
      </w:pPr>
    </w:p>
    <w:p w14:paraId="658D8C3D" w14:textId="77777777" w:rsidR="00847956" w:rsidRPr="00847956" w:rsidRDefault="00847956" w:rsidP="00847956">
      <w:pPr>
        <w:rPr>
          <w:rFonts w:eastAsia="Calibri"/>
        </w:rPr>
      </w:pPr>
      <w:r w:rsidRPr="00847956">
        <w:rPr>
          <w:rFonts w:eastAsia="Calibri"/>
        </w:rPr>
        <w:t xml:space="preserve">This clinical policy is the property of </w:t>
      </w:r>
      <w:r w:rsidRPr="00847956">
        <w:rPr>
          <w:rFonts w:eastAsia="Calibri"/>
          <w:iCs/>
        </w:rPr>
        <w:t>the Health Plan</w:t>
      </w:r>
      <w:r w:rsidRPr="00847956">
        <w:rPr>
          <w:rFonts w:eastAsia="Calibri"/>
        </w:rPr>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249EF48" w14:textId="77777777" w:rsidR="00847956" w:rsidRPr="00847956" w:rsidRDefault="00847956" w:rsidP="00847956">
      <w:pPr>
        <w:autoSpaceDE w:val="0"/>
        <w:autoSpaceDN w:val="0"/>
        <w:adjustRightInd w:val="0"/>
        <w:rPr>
          <w:rFonts w:eastAsia="Calibri"/>
          <w:color w:val="000000"/>
        </w:rPr>
      </w:pPr>
    </w:p>
    <w:p w14:paraId="696D5EF1" w14:textId="77777777" w:rsidR="00847956" w:rsidRPr="00847956" w:rsidRDefault="00847956" w:rsidP="00847956">
      <w:pPr>
        <w:autoSpaceDE w:val="0"/>
        <w:autoSpaceDN w:val="0"/>
        <w:adjustRightInd w:val="0"/>
        <w:rPr>
          <w:rFonts w:eastAsia="Calibri"/>
          <w:color w:val="000000"/>
        </w:rPr>
      </w:pPr>
      <w:r w:rsidRPr="00847956">
        <w:rPr>
          <w:rFonts w:eastAsia="Calibri"/>
          <w:b/>
          <w:color w:val="000000"/>
        </w:rPr>
        <w:t>Note: For Medicaid members</w:t>
      </w:r>
      <w:r w:rsidRPr="00847956">
        <w:rPr>
          <w:rFonts w:eastAsia="Calibri"/>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3E02FD4" w14:textId="77777777" w:rsidR="00847956" w:rsidRPr="00847956" w:rsidRDefault="00847956" w:rsidP="00847956">
      <w:pPr>
        <w:rPr>
          <w:rFonts w:eastAsia="Calibri"/>
        </w:rPr>
      </w:pPr>
    </w:p>
    <w:p w14:paraId="6A978E30" w14:textId="77777777" w:rsidR="00847956" w:rsidRPr="00146C6E" w:rsidRDefault="00847956" w:rsidP="00847956">
      <w:pPr>
        <w:autoSpaceDE w:val="0"/>
        <w:autoSpaceDN w:val="0"/>
        <w:adjustRightInd w:val="0"/>
        <w:rPr>
          <w:color w:val="000000"/>
        </w:rPr>
      </w:pPr>
      <w:r w:rsidRPr="00847956">
        <w:rPr>
          <w:rFonts w:eastAsia="Calibri"/>
          <w:b/>
          <w:bCs/>
          <w:color w:val="000000"/>
        </w:rPr>
        <w:t xml:space="preserve">Note: For Medicare members, </w:t>
      </w:r>
      <w:r w:rsidRPr="00847956">
        <w:rPr>
          <w:rFonts w:eastAsia="Calibri"/>
          <w:color w:val="000000"/>
        </w:rPr>
        <w:t xml:space="preserve">to ensure consistency with the Medicare National Coverage Determinations (NCD) and Local Coverage Determinations (LCD), all applicable NCDs, LCDs, and Medicare Coverage Articles should be reviewed </w:t>
      </w:r>
      <w:r w:rsidRPr="00847956">
        <w:rPr>
          <w:rFonts w:eastAsia="Calibri"/>
          <w:color w:val="000000"/>
          <w:u w:val="single"/>
        </w:rPr>
        <w:t>prior to</w:t>
      </w:r>
      <w:r w:rsidRPr="00847956">
        <w:rPr>
          <w:rFonts w:eastAsia="Calibri"/>
          <w:color w:val="000000"/>
        </w:rPr>
        <w:t xml:space="preserve"> applying the criteria set forth in this clinical policy. Refer to the CMS website at </w:t>
      </w:r>
      <w:hyperlink r:id="rId17" w:history="1">
        <w:r w:rsidRPr="00847956">
          <w:rPr>
            <w:rFonts w:eastAsia="Calibri"/>
            <w:color w:val="000000"/>
            <w:u w:val="single"/>
          </w:rPr>
          <w:t>http://www.cms.gov</w:t>
        </w:r>
      </w:hyperlink>
      <w:r w:rsidRPr="00847956">
        <w:rPr>
          <w:rFonts w:eastAsia="Calibri"/>
          <w:color w:val="000000"/>
        </w:rPr>
        <w:t xml:space="preserve"> for additional information.</w:t>
      </w:r>
      <w:r w:rsidRPr="00146C6E">
        <w:rPr>
          <w:color w:val="000000"/>
        </w:rPr>
        <w:t xml:space="preserve"> </w:t>
      </w:r>
    </w:p>
    <w:p w14:paraId="5336ADCA" w14:textId="77777777" w:rsidR="00847956" w:rsidRPr="00146C6E" w:rsidRDefault="00847956" w:rsidP="00847956">
      <w:pPr>
        <w:rPr>
          <w:iCs/>
        </w:rPr>
      </w:pPr>
    </w:p>
    <w:p w14:paraId="73B5FCDD" w14:textId="77777777" w:rsidR="00847956" w:rsidRPr="00146C6E" w:rsidRDefault="00847956" w:rsidP="00847956">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27B2AC5D" w14:textId="77777777" w:rsidR="00D6529A" w:rsidRDefault="00D6529A" w:rsidP="00AF5490"/>
    <w:sectPr w:rsidR="00D6529A"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70D1C" w14:textId="77777777" w:rsidR="005F5423" w:rsidRDefault="005F5423">
      <w:r>
        <w:separator/>
      </w:r>
    </w:p>
  </w:endnote>
  <w:endnote w:type="continuationSeparator" w:id="0">
    <w:p w14:paraId="579ED1F9" w14:textId="77777777" w:rsidR="005F5423" w:rsidRDefault="005F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4B14" w14:textId="7D056788" w:rsidR="00D6529A" w:rsidRPr="00D574CA" w:rsidRDefault="00D6529A" w:rsidP="00D574CA">
    <w:pPr>
      <w:pStyle w:val="Footer"/>
      <w:jc w:val="center"/>
    </w:pPr>
    <w:r>
      <w:t xml:space="preserve">Page </w:t>
    </w:r>
    <w:r>
      <w:rPr>
        <w:b/>
        <w:bCs/>
      </w:rPr>
      <w:fldChar w:fldCharType="begin"/>
    </w:r>
    <w:r>
      <w:rPr>
        <w:b/>
        <w:bCs/>
      </w:rPr>
      <w:instrText xml:space="preserve"> PAGE </w:instrText>
    </w:r>
    <w:r>
      <w:rPr>
        <w:b/>
        <w:bCs/>
      </w:rPr>
      <w:fldChar w:fldCharType="separate"/>
    </w:r>
    <w:r w:rsidR="008E63B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8E63B6">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6DED6" w14:textId="4AA37B45" w:rsidR="00D6529A" w:rsidRDefault="00D6529A" w:rsidP="002C6AAB">
    <w:pPr>
      <w:pStyle w:val="Footer"/>
      <w:jc w:val="center"/>
    </w:pPr>
    <w:r>
      <w:t xml:space="preserve">Page </w:t>
    </w:r>
    <w:r w:rsidR="00833EC0">
      <w:fldChar w:fldCharType="begin"/>
    </w:r>
    <w:r w:rsidR="00833EC0">
      <w:instrText xml:space="preserve"> PAGE   \* MERGEFORMAT </w:instrText>
    </w:r>
    <w:r w:rsidR="00833EC0">
      <w:fldChar w:fldCharType="separate"/>
    </w:r>
    <w:r w:rsidR="008E63B6">
      <w:rPr>
        <w:noProof/>
      </w:rPr>
      <w:t>1</w:t>
    </w:r>
    <w:r w:rsidR="00833EC0">
      <w:rPr>
        <w:noProof/>
      </w:rPr>
      <w:fldChar w:fldCharType="end"/>
    </w:r>
    <w:r>
      <w:t xml:space="preserve"> of </w:t>
    </w:r>
    <w:r w:rsidR="00BD1EBE">
      <w:rPr>
        <w:noProof/>
      </w:rPr>
      <w:fldChar w:fldCharType="begin"/>
    </w:r>
    <w:r w:rsidR="00BD1EBE">
      <w:rPr>
        <w:noProof/>
      </w:rPr>
      <w:instrText xml:space="preserve"> NUMPAGES   \* MERGEFORMAT </w:instrText>
    </w:r>
    <w:r w:rsidR="00BD1EBE">
      <w:rPr>
        <w:noProof/>
      </w:rPr>
      <w:fldChar w:fldCharType="separate"/>
    </w:r>
    <w:r w:rsidR="008E63B6">
      <w:rPr>
        <w:noProof/>
      </w:rPr>
      <w:t>6</w:t>
    </w:r>
    <w:r w:rsidR="00BD1E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B2BDA" w14:textId="77777777" w:rsidR="005F5423" w:rsidRDefault="005F5423">
      <w:r>
        <w:separator/>
      </w:r>
    </w:p>
  </w:footnote>
  <w:footnote w:type="continuationSeparator" w:id="0">
    <w:p w14:paraId="521E0949" w14:textId="77777777" w:rsidR="005F5423" w:rsidRDefault="005F5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235EB" w14:textId="77777777" w:rsidR="00D6529A" w:rsidRPr="00B777AF" w:rsidRDefault="00D6529A"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847956">
      <w:rPr>
        <w:noProof/>
        <w:color w:val="00548C"/>
      </w:rPr>
      <w:drawing>
        <wp:inline distT="0" distB="0" distL="0" distR="0" wp14:anchorId="2BD8F466" wp14:editId="2BD8F467">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637B4A1E" w14:textId="77777777" w:rsidR="00D6529A" w:rsidRPr="00B777AF" w:rsidRDefault="00D6529A" w:rsidP="00B777AF">
    <w:pPr>
      <w:rPr>
        <w:color w:val="00548C"/>
      </w:rPr>
    </w:pPr>
    <w:r>
      <w:rPr>
        <w:rFonts w:ascii="Times New Roman Bold" w:hAnsi="Times New Roman Bold"/>
        <w:b/>
        <w:bCs/>
        <w:color w:val="00548C"/>
      </w:rPr>
      <w:t>Acupuncture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B4AEF" w14:textId="77777777" w:rsidR="00D6529A" w:rsidRDefault="00847956" w:rsidP="00B777AF">
    <w:pPr>
      <w:pStyle w:val="Header"/>
      <w:jc w:val="right"/>
    </w:pPr>
    <w:r>
      <w:rPr>
        <w:noProof/>
      </w:rPr>
      <w:drawing>
        <wp:inline distT="0" distB="0" distL="0" distR="0" wp14:anchorId="2BD8F468" wp14:editId="2BD8F469">
          <wp:extent cx="1362075" cy="333375"/>
          <wp:effectExtent l="0" t="0" r="9525" b="952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1"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3D2875C3"/>
    <w:multiLevelType w:val="hybridMultilevel"/>
    <w:tmpl w:val="1F624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F705FA"/>
    <w:multiLevelType w:val="hybridMultilevel"/>
    <w:tmpl w:val="13CA7C60"/>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6655464"/>
    <w:multiLevelType w:val="multilevel"/>
    <w:tmpl w:val="7BC6C2DA"/>
    <w:lvl w:ilvl="0">
      <w:start w:val="1"/>
      <w:numFmt w:val="upperLetter"/>
      <w:lvlText w:val="%1."/>
      <w:lvlJc w:val="left"/>
      <w:pPr>
        <w:tabs>
          <w:tab w:val="num" w:pos="720"/>
        </w:tabs>
        <w:ind w:left="720" w:hanging="360"/>
      </w:pPr>
      <w:rPr>
        <w:rFonts w:cs="Times New Roman" w:hint="default"/>
        <w:b/>
        <w:color w:val="auto"/>
        <w:sz w:val="24"/>
      </w:rPr>
    </w:lvl>
    <w:lvl w:ilvl="1">
      <w:start w:val="1"/>
      <w:numFmt w:val="lowerLetter"/>
      <w:lvlText w:val="%2."/>
      <w:lvlJc w:val="left"/>
      <w:pPr>
        <w:tabs>
          <w:tab w:val="num" w:pos="1440"/>
        </w:tabs>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D6163"/>
    <w:multiLevelType w:val="multilevel"/>
    <w:tmpl w:val="CFFEC516"/>
    <w:lvl w:ilvl="0">
      <w:start w:val="1"/>
      <w:numFmt w:val="upperLetter"/>
      <w:lvlText w:val="%1."/>
      <w:lvlJc w:val="left"/>
      <w:pPr>
        <w:tabs>
          <w:tab w:val="num" w:pos="720"/>
        </w:tabs>
        <w:ind w:left="720" w:hanging="360"/>
      </w:pPr>
      <w:rPr>
        <w:rFonts w:cs="Times New Roman" w:hint="default"/>
        <w:sz w:val="24"/>
      </w:rPr>
    </w:lvl>
    <w:lvl w:ilvl="1">
      <w:start w:val="1"/>
      <w:numFmt w:val="decimal"/>
      <w:lvlText w:val="%2."/>
      <w:lvlJc w:val="left"/>
      <w:pPr>
        <w:tabs>
          <w:tab w:val="num" w:pos="1440"/>
        </w:tabs>
        <w:ind w:left="1440" w:hanging="360"/>
      </w:pPr>
      <w:rPr>
        <w:rFonts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D0D67A4"/>
    <w:multiLevelType w:val="hybridMultilevel"/>
    <w:tmpl w:val="A49A215C"/>
    <w:lvl w:ilvl="0" w:tplc="4A84F7A8">
      <w:start w:val="1"/>
      <w:numFmt w:val="upperRoman"/>
      <w:lvlText w:val="%1."/>
      <w:lvlJc w:val="left"/>
      <w:pPr>
        <w:ind w:left="720" w:hanging="360"/>
      </w:pPr>
      <w:rPr>
        <w:rFonts w:cs="Times New Roman" w:hint="default"/>
        <w:b/>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7D1E3D0A"/>
    <w:multiLevelType w:val="hybridMultilevel"/>
    <w:tmpl w:val="EBACAE76"/>
    <w:lvl w:ilvl="0" w:tplc="6BAC0802">
      <w:start w:val="1"/>
      <w:numFmt w:val="upperRoman"/>
      <w:lvlText w:val="%1."/>
      <w:lvlJc w:val="left"/>
      <w:pPr>
        <w:ind w:left="720" w:hanging="360"/>
      </w:pPr>
      <w:rPr>
        <w:rFonts w:cs="Times New Roman" w:hint="default"/>
        <w:b/>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0"/>
  </w:num>
  <w:num w:numId="3">
    <w:abstractNumId w:val="7"/>
  </w:num>
  <w:num w:numId="4">
    <w:abstractNumId w:val="10"/>
  </w:num>
  <w:num w:numId="5">
    <w:abstractNumId w:val="11"/>
  </w:num>
  <w:num w:numId="6">
    <w:abstractNumId w:val="19"/>
  </w:num>
  <w:num w:numId="7">
    <w:abstractNumId w:val="20"/>
  </w:num>
  <w:num w:numId="8">
    <w:abstractNumId w:val="1"/>
  </w:num>
  <w:num w:numId="9">
    <w:abstractNumId w:val="17"/>
  </w:num>
  <w:num w:numId="10">
    <w:abstractNumId w:val="5"/>
  </w:num>
  <w:num w:numId="11">
    <w:abstractNumId w:val="23"/>
  </w:num>
  <w:num w:numId="12">
    <w:abstractNumId w:val="9"/>
  </w:num>
  <w:num w:numId="13">
    <w:abstractNumId w:val="8"/>
  </w:num>
  <w:num w:numId="14">
    <w:abstractNumId w:val="3"/>
  </w:num>
  <w:num w:numId="15">
    <w:abstractNumId w:val="6"/>
  </w:num>
  <w:num w:numId="16">
    <w:abstractNumId w:val="22"/>
  </w:num>
  <w:num w:numId="17">
    <w:abstractNumId w:val="18"/>
  </w:num>
  <w:num w:numId="18">
    <w:abstractNumId w:val="13"/>
  </w:num>
  <w:num w:numId="19">
    <w:abstractNumId w:val="4"/>
  </w:num>
  <w:num w:numId="20">
    <w:abstractNumId w:val="2"/>
  </w:num>
  <w:num w:numId="21">
    <w:abstractNumId w:val="15"/>
  </w:num>
  <w:num w:numId="22">
    <w:abstractNumId w:val="21"/>
  </w:num>
  <w:num w:numId="23">
    <w:abstractNumId w:val="14"/>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20C0E"/>
    <w:rsid w:val="000465DE"/>
    <w:rsid w:val="0004733E"/>
    <w:rsid w:val="00060509"/>
    <w:rsid w:val="00060667"/>
    <w:rsid w:val="00083740"/>
    <w:rsid w:val="00087613"/>
    <w:rsid w:val="000B125A"/>
    <w:rsid w:val="000C40BB"/>
    <w:rsid w:val="000C701F"/>
    <w:rsid w:val="000C75E3"/>
    <w:rsid w:val="000C7C3E"/>
    <w:rsid w:val="000E3B20"/>
    <w:rsid w:val="000F10C2"/>
    <w:rsid w:val="000F4573"/>
    <w:rsid w:val="00116F5A"/>
    <w:rsid w:val="001244C9"/>
    <w:rsid w:val="0014316D"/>
    <w:rsid w:val="0014410B"/>
    <w:rsid w:val="00170B14"/>
    <w:rsid w:val="001818D7"/>
    <w:rsid w:val="00185104"/>
    <w:rsid w:val="00195856"/>
    <w:rsid w:val="001962BE"/>
    <w:rsid w:val="00196689"/>
    <w:rsid w:val="00196935"/>
    <w:rsid w:val="0019746F"/>
    <w:rsid w:val="001B0B2B"/>
    <w:rsid w:val="001D0D34"/>
    <w:rsid w:val="001D70D4"/>
    <w:rsid w:val="001E035C"/>
    <w:rsid w:val="001E7D12"/>
    <w:rsid w:val="0020675F"/>
    <w:rsid w:val="0021188B"/>
    <w:rsid w:val="00215E4E"/>
    <w:rsid w:val="00220736"/>
    <w:rsid w:val="00230FE4"/>
    <w:rsid w:val="00233651"/>
    <w:rsid w:val="00254020"/>
    <w:rsid w:val="0025452A"/>
    <w:rsid w:val="002621CA"/>
    <w:rsid w:val="00285997"/>
    <w:rsid w:val="00294471"/>
    <w:rsid w:val="002A39EE"/>
    <w:rsid w:val="002C6AAB"/>
    <w:rsid w:val="002D019A"/>
    <w:rsid w:val="002E48E7"/>
    <w:rsid w:val="003140D6"/>
    <w:rsid w:val="00326BE2"/>
    <w:rsid w:val="00343E6B"/>
    <w:rsid w:val="00350F22"/>
    <w:rsid w:val="0037165F"/>
    <w:rsid w:val="00375F01"/>
    <w:rsid w:val="003840CC"/>
    <w:rsid w:val="003B0831"/>
    <w:rsid w:val="003B2687"/>
    <w:rsid w:val="003D0968"/>
    <w:rsid w:val="003D7BE7"/>
    <w:rsid w:val="004007B6"/>
    <w:rsid w:val="00416070"/>
    <w:rsid w:val="00472C6C"/>
    <w:rsid w:val="00480C09"/>
    <w:rsid w:val="00493FB1"/>
    <w:rsid w:val="00496BCF"/>
    <w:rsid w:val="00497AED"/>
    <w:rsid w:val="004E0B99"/>
    <w:rsid w:val="004F6394"/>
    <w:rsid w:val="004F66BE"/>
    <w:rsid w:val="005049DB"/>
    <w:rsid w:val="00505830"/>
    <w:rsid w:val="0050708C"/>
    <w:rsid w:val="005103B8"/>
    <w:rsid w:val="005144C0"/>
    <w:rsid w:val="0053265C"/>
    <w:rsid w:val="005423D4"/>
    <w:rsid w:val="00544BA6"/>
    <w:rsid w:val="00551D50"/>
    <w:rsid w:val="005537B0"/>
    <w:rsid w:val="00556550"/>
    <w:rsid w:val="005707E5"/>
    <w:rsid w:val="005776FD"/>
    <w:rsid w:val="00583376"/>
    <w:rsid w:val="005962E4"/>
    <w:rsid w:val="005C17DF"/>
    <w:rsid w:val="005C3607"/>
    <w:rsid w:val="005D009F"/>
    <w:rsid w:val="005D5146"/>
    <w:rsid w:val="005E411E"/>
    <w:rsid w:val="005F5423"/>
    <w:rsid w:val="006474BB"/>
    <w:rsid w:val="006664E9"/>
    <w:rsid w:val="0067573E"/>
    <w:rsid w:val="006C74DF"/>
    <w:rsid w:val="006D4BAF"/>
    <w:rsid w:val="006F14B9"/>
    <w:rsid w:val="006F4D70"/>
    <w:rsid w:val="0071229B"/>
    <w:rsid w:val="00714DC9"/>
    <w:rsid w:val="00744250"/>
    <w:rsid w:val="007558BA"/>
    <w:rsid w:val="00766669"/>
    <w:rsid w:val="0077127B"/>
    <w:rsid w:val="007764CE"/>
    <w:rsid w:val="00787445"/>
    <w:rsid w:val="007927CB"/>
    <w:rsid w:val="007A09D8"/>
    <w:rsid w:val="007A0BCC"/>
    <w:rsid w:val="007B07AE"/>
    <w:rsid w:val="007B50D0"/>
    <w:rsid w:val="007D4801"/>
    <w:rsid w:val="007D6ADE"/>
    <w:rsid w:val="007E2DA1"/>
    <w:rsid w:val="007F1F19"/>
    <w:rsid w:val="008313AC"/>
    <w:rsid w:val="00833EC0"/>
    <w:rsid w:val="0083570C"/>
    <w:rsid w:val="008463ED"/>
    <w:rsid w:val="00847956"/>
    <w:rsid w:val="00855E37"/>
    <w:rsid w:val="00857C10"/>
    <w:rsid w:val="00875924"/>
    <w:rsid w:val="00877EC7"/>
    <w:rsid w:val="00896E94"/>
    <w:rsid w:val="008A0A22"/>
    <w:rsid w:val="008B0705"/>
    <w:rsid w:val="008C6B3A"/>
    <w:rsid w:val="008E281F"/>
    <w:rsid w:val="008E63B6"/>
    <w:rsid w:val="00902C9B"/>
    <w:rsid w:val="009135E0"/>
    <w:rsid w:val="00914031"/>
    <w:rsid w:val="00915CA4"/>
    <w:rsid w:val="009575A5"/>
    <w:rsid w:val="00961071"/>
    <w:rsid w:val="00963062"/>
    <w:rsid w:val="009735FA"/>
    <w:rsid w:val="0097482F"/>
    <w:rsid w:val="00977ECA"/>
    <w:rsid w:val="00982180"/>
    <w:rsid w:val="00990A52"/>
    <w:rsid w:val="009928B2"/>
    <w:rsid w:val="009B2972"/>
    <w:rsid w:val="009C61B2"/>
    <w:rsid w:val="009D5928"/>
    <w:rsid w:val="009E6F29"/>
    <w:rsid w:val="009F1794"/>
    <w:rsid w:val="00A11BDF"/>
    <w:rsid w:val="00A41969"/>
    <w:rsid w:val="00A60413"/>
    <w:rsid w:val="00A83658"/>
    <w:rsid w:val="00A85489"/>
    <w:rsid w:val="00A85C12"/>
    <w:rsid w:val="00A87B1F"/>
    <w:rsid w:val="00AA336E"/>
    <w:rsid w:val="00AA428E"/>
    <w:rsid w:val="00AB46C8"/>
    <w:rsid w:val="00AB6B01"/>
    <w:rsid w:val="00AD1AA6"/>
    <w:rsid w:val="00AF1F2A"/>
    <w:rsid w:val="00AF30EF"/>
    <w:rsid w:val="00AF5490"/>
    <w:rsid w:val="00B134AB"/>
    <w:rsid w:val="00B36B86"/>
    <w:rsid w:val="00B4633B"/>
    <w:rsid w:val="00B777AF"/>
    <w:rsid w:val="00B81789"/>
    <w:rsid w:val="00B8273C"/>
    <w:rsid w:val="00B92DF1"/>
    <w:rsid w:val="00BD1EBE"/>
    <w:rsid w:val="00BF4150"/>
    <w:rsid w:val="00BF49B4"/>
    <w:rsid w:val="00C0526E"/>
    <w:rsid w:val="00C079B0"/>
    <w:rsid w:val="00C10DF0"/>
    <w:rsid w:val="00C14250"/>
    <w:rsid w:val="00C210C2"/>
    <w:rsid w:val="00C2297C"/>
    <w:rsid w:val="00C64B3C"/>
    <w:rsid w:val="00C64BB4"/>
    <w:rsid w:val="00C73CF5"/>
    <w:rsid w:val="00C75BD4"/>
    <w:rsid w:val="00C963D8"/>
    <w:rsid w:val="00C96847"/>
    <w:rsid w:val="00CA53B9"/>
    <w:rsid w:val="00CA5C08"/>
    <w:rsid w:val="00CB3624"/>
    <w:rsid w:val="00CB3AA9"/>
    <w:rsid w:val="00CD0BA4"/>
    <w:rsid w:val="00CE6859"/>
    <w:rsid w:val="00CF2624"/>
    <w:rsid w:val="00D36448"/>
    <w:rsid w:val="00D574CA"/>
    <w:rsid w:val="00D651C0"/>
    <w:rsid w:val="00D6529A"/>
    <w:rsid w:val="00D7126C"/>
    <w:rsid w:val="00D71BC4"/>
    <w:rsid w:val="00DA65D3"/>
    <w:rsid w:val="00DB1DE9"/>
    <w:rsid w:val="00DD025A"/>
    <w:rsid w:val="00DD7D7A"/>
    <w:rsid w:val="00DE18E2"/>
    <w:rsid w:val="00DE466A"/>
    <w:rsid w:val="00E97C17"/>
    <w:rsid w:val="00EA3809"/>
    <w:rsid w:val="00EA6AC2"/>
    <w:rsid w:val="00ED0A0D"/>
    <w:rsid w:val="00ED5028"/>
    <w:rsid w:val="00F03DC0"/>
    <w:rsid w:val="00F2705D"/>
    <w:rsid w:val="00F422E1"/>
    <w:rsid w:val="00F53C28"/>
    <w:rsid w:val="00F71F8E"/>
    <w:rsid w:val="00F74762"/>
    <w:rsid w:val="00F91367"/>
    <w:rsid w:val="00F95133"/>
    <w:rsid w:val="00F956E2"/>
    <w:rsid w:val="00FB0592"/>
    <w:rsid w:val="00FB139B"/>
    <w:rsid w:val="00FB6BB5"/>
    <w:rsid w:val="00FE290A"/>
    <w:rsid w:val="00FE3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4577"/>
    <o:shapelayout v:ext="edit">
      <o:idmap v:ext="edit" data="1"/>
    </o:shapelayout>
  </w:shapeDefaults>
  <w:decimalSymbol w:val="."/>
  <w:listSeparator w:val=","/>
  <w14:docId w14:val="07F7351A"/>
  <w15:docId w15:val="{9770C87C-48B7-448D-A064-2C7EF5C2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BA4"/>
    <w:rPr>
      <w:sz w:val="24"/>
      <w:szCs w:val="24"/>
    </w:rPr>
  </w:style>
  <w:style w:type="paragraph" w:styleId="Heading1">
    <w:name w:val="heading 1"/>
    <w:basedOn w:val="Normal"/>
    <w:next w:val="Normal"/>
    <w:link w:val="Heading1Char"/>
    <w:uiPriority w:val="99"/>
    <w:qFormat/>
    <w:rsid w:val="00CD0BA4"/>
    <w:pPr>
      <w:keepNext/>
      <w:outlineLvl w:val="0"/>
    </w:pPr>
    <w:rPr>
      <w:b/>
      <w:bCs/>
      <w:sz w:val="20"/>
      <w:szCs w:val="12"/>
    </w:rPr>
  </w:style>
  <w:style w:type="paragraph" w:styleId="Heading2">
    <w:name w:val="heading 2"/>
    <w:basedOn w:val="Normal"/>
    <w:next w:val="Normal"/>
    <w:link w:val="Heading2Char"/>
    <w:uiPriority w:val="99"/>
    <w:qFormat/>
    <w:rsid w:val="00CD0BA4"/>
    <w:pPr>
      <w:keepNext/>
      <w:outlineLvl w:val="1"/>
    </w:pPr>
    <w:rPr>
      <w:b/>
      <w:bCs/>
      <w:u w:val="single"/>
    </w:rPr>
  </w:style>
  <w:style w:type="paragraph" w:styleId="Heading3">
    <w:name w:val="heading 3"/>
    <w:basedOn w:val="Normal"/>
    <w:next w:val="Normal"/>
    <w:link w:val="Heading3Char"/>
    <w:uiPriority w:val="99"/>
    <w:qFormat/>
    <w:rsid w:val="00CD0BA4"/>
    <w:pPr>
      <w:keepNext/>
      <w:outlineLvl w:val="2"/>
    </w:pPr>
    <w:rPr>
      <w:b/>
      <w:bCs/>
    </w:rPr>
  </w:style>
  <w:style w:type="paragraph" w:styleId="Heading4">
    <w:name w:val="heading 4"/>
    <w:basedOn w:val="Normal"/>
    <w:next w:val="Normal"/>
    <w:link w:val="Heading4Char"/>
    <w:uiPriority w:val="99"/>
    <w:qFormat/>
    <w:rsid w:val="00CD0BA4"/>
    <w:pPr>
      <w:keepNext/>
      <w:jc w:val="center"/>
      <w:outlineLvl w:val="3"/>
    </w:pPr>
    <w:rPr>
      <w:b/>
      <w:bCs/>
    </w:rPr>
  </w:style>
  <w:style w:type="paragraph" w:styleId="Heading5">
    <w:name w:val="heading 5"/>
    <w:basedOn w:val="Normal"/>
    <w:next w:val="Normal"/>
    <w:link w:val="Heading5Char"/>
    <w:uiPriority w:val="99"/>
    <w:qFormat/>
    <w:rsid w:val="00CD0BA4"/>
    <w:pPr>
      <w:keepNext/>
      <w:outlineLvl w:val="4"/>
    </w:pPr>
    <w:rPr>
      <w:b/>
      <w:szCs w:val="20"/>
    </w:rPr>
  </w:style>
  <w:style w:type="paragraph" w:styleId="Heading6">
    <w:name w:val="heading 6"/>
    <w:basedOn w:val="Normal"/>
    <w:next w:val="Normal"/>
    <w:link w:val="Heading6Char"/>
    <w:uiPriority w:val="99"/>
    <w:qFormat/>
    <w:rsid w:val="00CD0BA4"/>
    <w:pPr>
      <w:keepNext/>
      <w:tabs>
        <w:tab w:val="num" w:pos="0"/>
      </w:tabs>
      <w:jc w:val="center"/>
      <w:outlineLvl w:val="5"/>
    </w:pPr>
    <w:rPr>
      <w:b/>
      <w:szCs w:val="20"/>
    </w:rPr>
  </w:style>
  <w:style w:type="paragraph" w:styleId="Heading7">
    <w:name w:val="heading 7"/>
    <w:basedOn w:val="Normal"/>
    <w:next w:val="Normal"/>
    <w:link w:val="Heading7Char"/>
    <w:uiPriority w:val="99"/>
    <w:qFormat/>
    <w:rsid w:val="00CD0BA4"/>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paragraph" w:styleId="Header">
    <w:name w:val="header"/>
    <w:basedOn w:val="Normal"/>
    <w:link w:val="HeaderChar"/>
    <w:uiPriority w:val="99"/>
    <w:rsid w:val="00CD0BA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CD0BA4"/>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CD0BA4"/>
    <w:pPr>
      <w:jc w:val="center"/>
    </w:pPr>
    <w:rPr>
      <w:b/>
      <w:bCs/>
      <w:szCs w:val="20"/>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customStyle="1" w:styleId="EmailStyle20">
    <w:name w:val="EmailStyle20"/>
    <w:uiPriority w:val="99"/>
    <w:rsid w:val="00CD0BA4"/>
    <w:rPr>
      <w:rFonts w:ascii="Arial" w:hAnsi="Arial"/>
      <w:color w:val="000000"/>
      <w:sz w:val="20"/>
    </w:rPr>
  </w:style>
  <w:style w:type="paragraph" w:styleId="NormalWeb">
    <w:name w:val="Normal (Web)"/>
    <w:basedOn w:val="Normal"/>
    <w:rsid w:val="00CD0BA4"/>
    <w:pPr>
      <w:spacing w:before="100" w:beforeAutospacing="1" w:after="100" w:afterAutospacing="1"/>
    </w:pPr>
    <w:rPr>
      <w:rFonts w:ascii="Arial Unicode MS" w:hAnsi="Arial Unicode MS" w:cs="Arial Unicode MS"/>
    </w:rPr>
  </w:style>
  <w:style w:type="character" w:styleId="Strong">
    <w:name w:val="Strong"/>
    <w:basedOn w:val="DefaultParagraphFont"/>
    <w:qFormat/>
    <w:rsid w:val="00CD0BA4"/>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3EC0"/>
    <w:rPr>
      <w:sz w:val="16"/>
      <w:szCs w:val="16"/>
    </w:rPr>
  </w:style>
  <w:style w:type="paragraph" w:styleId="CommentText">
    <w:name w:val="annotation text"/>
    <w:basedOn w:val="Normal"/>
    <w:link w:val="CommentTextChar"/>
    <w:uiPriority w:val="99"/>
    <w:semiHidden/>
    <w:unhideWhenUsed/>
    <w:rsid w:val="00833EC0"/>
    <w:rPr>
      <w:sz w:val="20"/>
      <w:szCs w:val="20"/>
    </w:rPr>
  </w:style>
  <w:style w:type="character" w:customStyle="1" w:styleId="CommentTextChar">
    <w:name w:val="Comment Text Char"/>
    <w:basedOn w:val="DefaultParagraphFont"/>
    <w:link w:val="CommentText"/>
    <w:uiPriority w:val="99"/>
    <w:semiHidden/>
    <w:rsid w:val="00833EC0"/>
    <w:rPr>
      <w:sz w:val="20"/>
      <w:szCs w:val="20"/>
    </w:rPr>
  </w:style>
  <w:style w:type="paragraph" w:styleId="CommentSubject">
    <w:name w:val="annotation subject"/>
    <w:basedOn w:val="CommentText"/>
    <w:next w:val="CommentText"/>
    <w:link w:val="CommentSubjectChar"/>
    <w:uiPriority w:val="99"/>
    <w:semiHidden/>
    <w:unhideWhenUsed/>
    <w:rsid w:val="00833EC0"/>
    <w:rPr>
      <w:b/>
      <w:bCs/>
    </w:rPr>
  </w:style>
  <w:style w:type="character" w:customStyle="1" w:styleId="CommentSubjectChar">
    <w:name w:val="Comment Subject Char"/>
    <w:basedOn w:val="CommentTextChar"/>
    <w:link w:val="CommentSubject"/>
    <w:uiPriority w:val="99"/>
    <w:semiHidden/>
    <w:rsid w:val="00833E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10140">
      <w:marLeft w:val="0"/>
      <w:marRight w:val="0"/>
      <w:marTop w:val="0"/>
      <w:marBottom w:val="0"/>
      <w:divBdr>
        <w:top w:val="none" w:sz="0" w:space="0" w:color="auto"/>
        <w:left w:val="none" w:sz="0" w:space="0" w:color="auto"/>
        <w:bottom w:val="none" w:sz="0" w:space="0" w:color="auto"/>
        <w:right w:val="none" w:sz="0" w:space="0" w:color="auto"/>
      </w:divBdr>
    </w:div>
    <w:div w:id="186910142">
      <w:marLeft w:val="0"/>
      <w:marRight w:val="0"/>
      <w:marTop w:val="0"/>
      <w:marBottom w:val="0"/>
      <w:divBdr>
        <w:top w:val="none" w:sz="0" w:space="0" w:color="auto"/>
        <w:left w:val="none" w:sz="0" w:space="0" w:color="auto"/>
        <w:bottom w:val="none" w:sz="0" w:space="0" w:color="auto"/>
        <w:right w:val="none" w:sz="0" w:space="0" w:color="auto"/>
      </w:divBdr>
      <w:divsChild>
        <w:div w:id="186910141">
          <w:marLeft w:val="0"/>
          <w:marRight w:val="0"/>
          <w:marTop w:val="0"/>
          <w:marBottom w:val="0"/>
          <w:divBdr>
            <w:top w:val="none" w:sz="0" w:space="0" w:color="auto"/>
            <w:left w:val="none" w:sz="0" w:space="0" w:color="auto"/>
            <w:bottom w:val="none" w:sz="0" w:space="0" w:color="auto"/>
            <w:right w:val="none" w:sz="0" w:space="0" w:color="auto"/>
          </w:divBdr>
        </w:div>
        <w:div w:id="186910144">
          <w:marLeft w:val="0"/>
          <w:marRight w:val="0"/>
          <w:marTop w:val="0"/>
          <w:marBottom w:val="0"/>
          <w:divBdr>
            <w:top w:val="none" w:sz="0" w:space="0" w:color="auto"/>
            <w:left w:val="none" w:sz="0" w:space="0" w:color="auto"/>
            <w:bottom w:val="none" w:sz="0" w:space="0" w:color="auto"/>
            <w:right w:val="none" w:sz="0" w:space="0" w:color="auto"/>
          </w:divBdr>
        </w:div>
      </w:divsChild>
    </w:div>
    <w:div w:id="1869101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cms.gov" TargetMode="External"/><Relationship Id="rId2" Type="http://schemas.openxmlformats.org/officeDocument/2006/relationships/customXml" Target="../customXml/item2.xml"/><Relationship Id="rId16" Type="http://schemas.openxmlformats.org/officeDocument/2006/relationships/hyperlink" Target="http://www.headaches.org/2007/10/25/chronic-migrain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nccam.nih.gov/health/acupuncture/acupuncture-for-pain.htm?nav=gs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860D-F42D-44CE-8C98-E6E2964D4050}">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2A5B0D58-2070-45C1-AA2A-CD0898317334}">
  <ds:schemaRefs>
    <ds:schemaRef ds:uri="http://schemas.microsoft.com/sharepoint/v3/contenttype/forms"/>
  </ds:schemaRefs>
</ds:datastoreItem>
</file>

<file path=customXml/itemProps3.xml><?xml version="1.0" encoding="utf-8"?>
<ds:datastoreItem xmlns:ds="http://schemas.openxmlformats.org/officeDocument/2006/customXml" ds:itemID="{FA871152-33AC-485F-9CCD-CFE94F10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C917F8-321B-4B86-806F-EA5F324E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2535</Words>
  <Characters>15534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2015-06-25T20:16:00Z</cp:lastPrinted>
  <dcterms:created xsi:type="dcterms:W3CDTF">2019-09-25T19:41:00Z</dcterms:created>
  <dcterms:modified xsi:type="dcterms:W3CDTF">2019-09-25T19:41:00Z</dcterms:modified>
</cp:coreProperties>
</file>