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32171" w14:textId="77777777" w:rsidR="00767B5E" w:rsidRPr="00FF2A63" w:rsidRDefault="00767B5E" w:rsidP="00D574CA">
      <w:pPr>
        <w:pStyle w:val="PolicyMainHead"/>
        <w:tabs>
          <w:tab w:val="left" w:pos="360"/>
        </w:tabs>
        <w:spacing w:after="0" w:line="240" w:lineRule="auto"/>
        <w:rPr>
          <w:rFonts w:ascii="Times New Roman" w:hAnsi="Times New Roman"/>
          <w:color w:val="00548C"/>
          <w:sz w:val="30"/>
          <w:szCs w:val="30"/>
        </w:rPr>
      </w:pPr>
      <w:r w:rsidRPr="00FF2A63">
        <w:rPr>
          <w:rFonts w:ascii="Times New Roman" w:hAnsi="Times New Roman"/>
          <w:color w:val="00548C"/>
          <w:sz w:val="30"/>
          <w:szCs w:val="30"/>
        </w:rPr>
        <w:t xml:space="preserve">Clinical Policy: Total Parenteral Nutrition and Intradialytic Parenteral Nutrition </w:t>
      </w:r>
    </w:p>
    <w:p w14:paraId="1D732172" w14:textId="77777777" w:rsidR="00767B5E" w:rsidRPr="00160399" w:rsidRDefault="00767B5E" w:rsidP="00D574CA">
      <w:pPr>
        <w:pStyle w:val="PolicyMainHead"/>
        <w:tabs>
          <w:tab w:val="left" w:pos="360"/>
        </w:tabs>
        <w:spacing w:after="0" w:line="240" w:lineRule="auto"/>
        <w:rPr>
          <w:color w:val="00548C"/>
          <w:sz w:val="22"/>
        </w:rPr>
        <w:sectPr w:rsidR="00767B5E" w:rsidRPr="00160399"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1D732173" w14:textId="77777777" w:rsidR="00767B5E" w:rsidRPr="003D7BE7" w:rsidRDefault="00767B5E" w:rsidP="00160399">
      <w:pPr>
        <w:pStyle w:val="PolicyMainHead"/>
        <w:tabs>
          <w:tab w:val="left" w:pos="360"/>
        </w:tabs>
        <w:spacing w:after="0" w:line="240" w:lineRule="auto"/>
        <w:rPr>
          <w:rFonts w:ascii="Times New Roman" w:hAnsi="Times New Roman"/>
          <w:color w:val="00548C"/>
          <w:sz w:val="24"/>
          <w:szCs w:val="24"/>
        </w:rPr>
        <w:sectPr w:rsidR="00767B5E"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601671">
        <w:rPr>
          <w:rFonts w:ascii="Times New Roman" w:hAnsi="Times New Roman"/>
          <w:color w:val="00548C"/>
          <w:sz w:val="24"/>
          <w:szCs w:val="24"/>
        </w:rPr>
        <w:t>MP.163</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160399">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14:paraId="1D732174" w14:textId="4D77CF8C" w:rsidR="00767B5E" w:rsidRDefault="00767B5E"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FF2A63">
        <w:rPr>
          <w:rFonts w:ascii="Times New Roman" w:hAnsi="Times New Roman"/>
          <w:color w:val="00548C"/>
          <w:sz w:val="24"/>
          <w:szCs w:val="24"/>
        </w:rPr>
        <w:t>4</w:t>
      </w:r>
      <w:r>
        <w:rPr>
          <w:rFonts w:ascii="Times New Roman" w:hAnsi="Times New Roman"/>
          <w:color w:val="00548C"/>
          <w:sz w:val="24"/>
          <w:szCs w:val="24"/>
        </w:rPr>
        <w:t>/1</w:t>
      </w:r>
      <w:r w:rsidR="00EB0753">
        <w:rPr>
          <w:rFonts w:ascii="Times New Roman" w:hAnsi="Times New Roman"/>
          <w:color w:val="00548C"/>
          <w:sz w:val="24"/>
          <w:szCs w:val="24"/>
        </w:rPr>
        <w:t>9</w:t>
      </w:r>
    </w:p>
    <w:p w14:paraId="1D732175" w14:textId="77777777" w:rsidR="00767B5E" w:rsidRDefault="00F7766A" w:rsidP="00875924">
      <w:pPr>
        <w:pStyle w:val="PolicyMainHead"/>
        <w:tabs>
          <w:tab w:val="left" w:pos="360"/>
        </w:tabs>
        <w:spacing w:after="0" w:line="240" w:lineRule="auto"/>
        <w:jc w:val="right"/>
        <w:rPr>
          <w:rStyle w:val="Strong"/>
          <w:rFonts w:ascii="Times New Roman" w:hAnsi="Times New Roman"/>
          <w:b w:val="0"/>
          <w:u w:val="single"/>
        </w:rPr>
        <w:sectPr w:rsidR="00767B5E" w:rsidSect="00875924">
          <w:type w:val="continuous"/>
          <w:pgSz w:w="12240" w:h="15840" w:code="1"/>
          <w:pgMar w:top="1440" w:right="1170" w:bottom="1440" w:left="1440" w:header="576" w:footer="288" w:gutter="0"/>
          <w:cols w:num="2" w:space="720"/>
          <w:titlePg/>
          <w:docGrid w:linePitch="360"/>
        </w:sectPr>
      </w:pPr>
      <w:hyperlink w:anchor="Revision_Log" w:history="1">
        <w:r w:rsidR="00767B5E" w:rsidRPr="003D7BE7">
          <w:rPr>
            <w:rStyle w:val="Hyperlink"/>
            <w:rFonts w:ascii="Times New Roman" w:hAnsi="Times New Roman"/>
            <w:sz w:val="24"/>
            <w:szCs w:val="24"/>
          </w:rPr>
          <w:t>Revision Log</w:t>
        </w:r>
      </w:hyperlink>
      <w:r w:rsidR="00767B5E">
        <w:rPr>
          <w:rFonts w:ascii="Times New Roman" w:hAnsi="Times New Roman"/>
          <w:color w:val="00548C"/>
          <w:sz w:val="24"/>
          <w:szCs w:val="24"/>
        </w:rPr>
        <w:t xml:space="preserve"> </w:t>
      </w:r>
    </w:p>
    <w:p w14:paraId="1D732176" w14:textId="77777777" w:rsidR="00767B5E" w:rsidRDefault="00767B5E"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1D732177" w14:textId="77777777" w:rsidR="00767B5E" w:rsidRPr="005D7B81" w:rsidRDefault="00767B5E"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D732178" w14:textId="77777777" w:rsidR="00767B5E" w:rsidRDefault="00767B5E" w:rsidP="00875924">
      <w:pPr>
        <w:pStyle w:val="NormalWeb"/>
        <w:spacing w:before="0" w:beforeAutospacing="0" w:after="0" w:afterAutospacing="0"/>
        <w:jc w:val="center"/>
        <w:rPr>
          <w:rStyle w:val="Strong"/>
          <w:rFonts w:ascii="Times New Roman" w:hAnsi="Times New Roman"/>
          <w:b w:val="0"/>
          <w:u w:val="single"/>
        </w:rPr>
      </w:pPr>
    </w:p>
    <w:p w14:paraId="1D732179" w14:textId="77777777" w:rsidR="00767B5E" w:rsidRDefault="00767B5E">
      <w:pPr>
        <w:pStyle w:val="Heading2"/>
        <w:rPr>
          <w:u w:val="none"/>
        </w:rPr>
      </w:pPr>
      <w:r w:rsidRPr="00B777AF">
        <w:rPr>
          <w:u w:val="none"/>
        </w:rPr>
        <w:t xml:space="preserve">Description </w:t>
      </w:r>
    </w:p>
    <w:p w14:paraId="1D73217A" w14:textId="77777777" w:rsidR="00767B5E" w:rsidRDefault="00767B5E" w:rsidP="00196935">
      <w:pPr>
        <w:rPr>
          <w:color w:val="000000"/>
        </w:rPr>
      </w:pPr>
      <w:r>
        <w:t>Parenteral nutrition (PN) is the intravenous administration of an artificially prepared solution of nutrients that bypasses the gastrointestinal tract and that meets the nutritional requirements of a patient. PN is necessary when enteral nutrition is incapable of meeting the needs of the patient’s gastrointestinal tract. This policy describes the medical necessity requirements for two types of PN, (A) total parenteral nutrition (TPN), in which all of the necessary macronutrients and micronutrients are supplied to the patient, and (B</w:t>
      </w:r>
      <w:r w:rsidRPr="006C67DE">
        <w:rPr>
          <w:color w:val="000000"/>
        </w:rPr>
        <w:t>) intradialytic parenteral nutrition (IDPN), in which nutrition is supplied to end-stage renal disease (ESRD) patients undergoing dialysis as an alternative to regularly scheduled TPN.</w:t>
      </w:r>
    </w:p>
    <w:p w14:paraId="1D73217B" w14:textId="77777777" w:rsidR="00504BD6" w:rsidRDefault="00504BD6" w:rsidP="00196935">
      <w:pPr>
        <w:rPr>
          <w:color w:val="000000"/>
        </w:rPr>
      </w:pPr>
    </w:p>
    <w:p w14:paraId="1D73217C" w14:textId="77777777" w:rsidR="00504BD6" w:rsidRPr="00504BD6" w:rsidRDefault="00504BD6" w:rsidP="00196935">
      <w:pPr>
        <w:rPr>
          <w:i/>
          <w:color w:val="000000"/>
        </w:rPr>
      </w:pPr>
      <w:r w:rsidRPr="00504BD6">
        <w:rPr>
          <w:i/>
          <w:color w:val="000000"/>
        </w:rPr>
        <w:t>*Please see CP.MP.34 Hyperemesis Gravidarum Treatment regarding use of TPN in pregnancy.</w:t>
      </w:r>
    </w:p>
    <w:p w14:paraId="1D73217D" w14:textId="77777777" w:rsidR="00767B5E" w:rsidRPr="006C67DE" w:rsidRDefault="00767B5E" w:rsidP="00196935">
      <w:pPr>
        <w:rPr>
          <w:color w:val="000000"/>
        </w:rPr>
      </w:pPr>
    </w:p>
    <w:p w14:paraId="1D73217E" w14:textId="77777777" w:rsidR="00767B5E" w:rsidRPr="006C67DE" w:rsidRDefault="00767B5E">
      <w:pPr>
        <w:pStyle w:val="Heading2"/>
        <w:rPr>
          <w:color w:val="000000"/>
          <w:u w:val="none"/>
        </w:rPr>
      </w:pPr>
      <w:r w:rsidRPr="006C67DE">
        <w:rPr>
          <w:color w:val="000000"/>
          <w:u w:val="none"/>
        </w:rPr>
        <w:t>Policy/Criteria</w:t>
      </w:r>
    </w:p>
    <w:p w14:paraId="1D73217F" w14:textId="77777777" w:rsidR="00767B5E" w:rsidRPr="006C67DE" w:rsidRDefault="00767B5E" w:rsidP="00C96847">
      <w:pPr>
        <w:numPr>
          <w:ilvl w:val="0"/>
          <w:numId w:val="11"/>
        </w:numPr>
        <w:rPr>
          <w:color w:val="000000"/>
        </w:rPr>
      </w:pPr>
      <w:r w:rsidRPr="006C67DE">
        <w:rPr>
          <w:bCs/>
          <w:color w:val="000000"/>
        </w:rPr>
        <w:t>It is the policy of health plans affiliated with Centene Corporation</w:t>
      </w:r>
      <w:r w:rsidRPr="006C67DE">
        <w:rPr>
          <w:bCs/>
          <w:color w:val="000000"/>
          <w:vertAlign w:val="superscript"/>
        </w:rPr>
        <w:t>®</w:t>
      </w:r>
      <w:r w:rsidRPr="006C67DE">
        <w:rPr>
          <w:bCs/>
          <w:color w:val="000000"/>
        </w:rPr>
        <w:t xml:space="preserve"> </w:t>
      </w:r>
      <w:r w:rsidRPr="006C67DE">
        <w:rPr>
          <w:color w:val="000000"/>
        </w:rPr>
        <w:t xml:space="preserve">that the following are </w:t>
      </w:r>
      <w:r w:rsidRPr="006C67DE">
        <w:rPr>
          <w:b/>
          <w:color w:val="000000"/>
        </w:rPr>
        <w:t>medically necessary</w:t>
      </w:r>
      <w:r w:rsidRPr="006C67DE">
        <w:rPr>
          <w:color w:val="000000"/>
        </w:rPr>
        <w:t xml:space="preserve"> for members when meeting the associated indications:</w:t>
      </w:r>
    </w:p>
    <w:p w14:paraId="1D732180" w14:textId="77777777" w:rsidR="00767B5E" w:rsidRPr="006C67DE" w:rsidRDefault="00767B5E" w:rsidP="003F3D44">
      <w:pPr>
        <w:numPr>
          <w:ilvl w:val="1"/>
          <w:numId w:val="11"/>
        </w:numPr>
        <w:ind w:left="720"/>
        <w:rPr>
          <w:color w:val="000000"/>
        </w:rPr>
      </w:pPr>
      <w:r w:rsidRPr="006C67DE">
        <w:rPr>
          <w:i/>
          <w:color w:val="000000"/>
        </w:rPr>
        <w:t xml:space="preserve">Total Parenteral Nutrition, </w:t>
      </w:r>
      <w:r w:rsidRPr="006C67DE">
        <w:rPr>
          <w:color w:val="000000"/>
        </w:rPr>
        <w:t>w</w:t>
      </w:r>
      <w:r w:rsidRPr="006C67DE">
        <w:rPr>
          <w:bCs/>
          <w:color w:val="000000"/>
        </w:rPr>
        <w:t>hen all the following criteria are met</w:t>
      </w:r>
      <w:r w:rsidRPr="006C67DE">
        <w:rPr>
          <w:color w:val="000000"/>
        </w:rPr>
        <w:t>:</w:t>
      </w:r>
    </w:p>
    <w:p w14:paraId="1D732181" w14:textId="77777777" w:rsidR="00767B5E" w:rsidRPr="006C67DE" w:rsidRDefault="00767B5E" w:rsidP="001A68FD">
      <w:pPr>
        <w:numPr>
          <w:ilvl w:val="2"/>
          <w:numId w:val="11"/>
        </w:numPr>
        <w:ind w:left="1080" w:hanging="360"/>
        <w:rPr>
          <w:color w:val="000000"/>
        </w:rPr>
      </w:pPr>
      <w:r w:rsidRPr="006C67DE">
        <w:rPr>
          <w:color w:val="000000"/>
        </w:rPr>
        <w:t>Documentation of failure of enteral (</w:t>
      </w:r>
      <w:r w:rsidRPr="006C67DE">
        <w:rPr>
          <w:i/>
          <w:color w:val="000000"/>
        </w:rPr>
        <w:t>i.e.</w:t>
      </w:r>
      <w:r w:rsidRPr="006C67DE">
        <w:rPr>
          <w:color w:val="000000"/>
        </w:rPr>
        <w:t xml:space="preserve"> oral or tube feeding) nutrition, as shown by any of the following:    </w:t>
      </w:r>
    </w:p>
    <w:p w14:paraId="1D732182" w14:textId="77777777" w:rsidR="00767B5E" w:rsidRPr="006C67DE" w:rsidRDefault="00767B5E" w:rsidP="001A68FD">
      <w:pPr>
        <w:numPr>
          <w:ilvl w:val="3"/>
          <w:numId w:val="11"/>
        </w:numPr>
        <w:ind w:left="1440"/>
        <w:rPr>
          <w:color w:val="000000"/>
        </w:rPr>
      </w:pPr>
      <w:r w:rsidRPr="002945FD">
        <w:t>Weight loss &gt; 10% of ideal body weight</w:t>
      </w:r>
      <w:r w:rsidR="002512A7">
        <w:t xml:space="preserve"> in 3 months,</w:t>
      </w:r>
      <w:r w:rsidRPr="002945FD">
        <w:t xml:space="preserve"> or &gt; 20% of usual body weight</w:t>
      </w:r>
      <w:r w:rsidRPr="006C67DE">
        <w:rPr>
          <w:color w:val="000000"/>
        </w:rPr>
        <w:t>;</w:t>
      </w:r>
    </w:p>
    <w:p w14:paraId="1D732183" w14:textId="77777777" w:rsidR="00767B5E" w:rsidRPr="006C67DE" w:rsidRDefault="00767B5E" w:rsidP="001A68FD">
      <w:pPr>
        <w:numPr>
          <w:ilvl w:val="3"/>
          <w:numId w:val="11"/>
        </w:numPr>
        <w:ind w:left="1440"/>
        <w:rPr>
          <w:color w:val="000000"/>
        </w:rPr>
      </w:pPr>
      <w:r w:rsidRPr="006C67DE">
        <w:rPr>
          <w:color w:val="000000"/>
        </w:rPr>
        <w:t>Total protein &lt; 6 g/dL</w:t>
      </w:r>
      <w:r w:rsidR="007C7B2B">
        <w:rPr>
          <w:color w:val="000000"/>
        </w:rPr>
        <w:t xml:space="preserve"> in the past 4 weeks</w:t>
      </w:r>
      <w:r w:rsidRPr="006C67DE">
        <w:rPr>
          <w:color w:val="000000"/>
        </w:rPr>
        <w:t>;</w:t>
      </w:r>
    </w:p>
    <w:p w14:paraId="1D732184" w14:textId="77777777" w:rsidR="00767B5E" w:rsidRPr="006C67DE" w:rsidRDefault="00767B5E" w:rsidP="00A606F4">
      <w:pPr>
        <w:numPr>
          <w:ilvl w:val="3"/>
          <w:numId w:val="11"/>
        </w:numPr>
        <w:ind w:left="1440"/>
        <w:rPr>
          <w:color w:val="000000"/>
        </w:rPr>
      </w:pPr>
      <w:r w:rsidRPr="006C67DE">
        <w:rPr>
          <w:color w:val="000000"/>
        </w:rPr>
        <w:t>Serum albumin &lt; 3.4 g/dL</w:t>
      </w:r>
      <w:r w:rsidR="007C7B2B">
        <w:rPr>
          <w:color w:val="000000"/>
        </w:rPr>
        <w:t xml:space="preserve"> in the past 4 weeks</w:t>
      </w:r>
      <w:r w:rsidRPr="006C67DE">
        <w:rPr>
          <w:color w:val="000000"/>
        </w:rPr>
        <w:t>;</w:t>
      </w:r>
    </w:p>
    <w:p w14:paraId="1D732185" w14:textId="77777777" w:rsidR="00767B5E" w:rsidRPr="006C67DE" w:rsidRDefault="00767B5E" w:rsidP="00A606F4">
      <w:pPr>
        <w:numPr>
          <w:ilvl w:val="2"/>
          <w:numId w:val="11"/>
        </w:numPr>
        <w:ind w:left="1080" w:hanging="360"/>
        <w:rPr>
          <w:color w:val="000000"/>
        </w:rPr>
      </w:pPr>
      <w:r w:rsidRPr="006C67DE">
        <w:rPr>
          <w:color w:val="000000"/>
        </w:rPr>
        <w:t xml:space="preserve">Evidence of structural or functional bowel disease that makes oral or tube feedings inappropriate, or a condition in which the gastrointestinal tract is non-functioning for a period of time, including, but not necessarily limited to, any of the following: </w:t>
      </w:r>
    </w:p>
    <w:p w14:paraId="1D732186" w14:textId="77777777" w:rsidR="00767B5E" w:rsidRPr="006C67DE" w:rsidRDefault="00767B5E" w:rsidP="001A68FD">
      <w:pPr>
        <w:numPr>
          <w:ilvl w:val="3"/>
          <w:numId w:val="11"/>
        </w:numPr>
        <w:ind w:left="1440"/>
        <w:rPr>
          <w:color w:val="000000"/>
        </w:rPr>
      </w:pPr>
      <w:r w:rsidRPr="006C67DE">
        <w:rPr>
          <w:color w:val="000000"/>
        </w:rPr>
        <w:t>Crohn’s disease;</w:t>
      </w:r>
    </w:p>
    <w:p w14:paraId="1D732187" w14:textId="77777777" w:rsidR="00767B5E" w:rsidRDefault="00767B5E" w:rsidP="001A68FD">
      <w:pPr>
        <w:numPr>
          <w:ilvl w:val="3"/>
          <w:numId w:val="11"/>
        </w:numPr>
        <w:ind w:left="1440"/>
      </w:pPr>
      <w:r>
        <w:t>Short bowel syndrome;</w:t>
      </w:r>
    </w:p>
    <w:p w14:paraId="1D732188" w14:textId="3332F6AF" w:rsidR="00767B5E" w:rsidRDefault="00767B5E" w:rsidP="001A68FD">
      <w:pPr>
        <w:numPr>
          <w:ilvl w:val="3"/>
          <w:numId w:val="11"/>
        </w:numPr>
        <w:ind w:left="1440"/>
      </w:pPr>
      <w:r>
        <w:t xml:space="preserve">Single or multiple fistulae (entercolic, </w:t>
      </w:r>
      <w:r w:rsidR="00FC4F8C">
        <w:t>enterovesical</w:t>
      </w:r>
      <w:r>
        <w:t>, or enterocutaneous);</w:t>
      </w:r>
    </w:p>
    <w:p w14:paraId="1D732189" w14:textId="77777777" w:rsidR="00767B5E" w:rsidRDefault="00767B5E" w:rsidP="001A68FD">
      <w:pPr>
        <w:numPr>
          <w:ilvl w:val="3"/>
          <w:numId w:val="11"/>
        </w:numPr>
        <w:ind w:left="1440"/>
      </w:pPr>
      <w:r>
        <w:t>CNS disorder resulting in swallowing difficulties and high risk of aspiration;</w:t>
      </w:r>
    </w:p>
    <w:p w14:paraId="1D73218A" w14:textId="77777777" w:rsidR="00767B5E" w:rsidRDefault="00767B5E" w:rsidP="001A68FD">
      <w:pPr>
        <w:numPr>
          <w:ilvl w:val="3"/>
          <w:numId w:val="11"/>
        </w:numPr>
        <w:ind w:left="1440"/>
      </w:pPr>
      <w:r>
        <w:t>Obstructing stricture;</w:t>
      </w:r>
    </w:p>
    <w:p w14:paraId="1D73218B" w14:textId="77777777" w:rsidR="00767B5E" w:rsidRDefault="00767B5E" w:rsidP="001A68FD">
      <w:pPr>
        <w:numPr>
          <w:ilvl w:val="3"/>
          <w:numId w:val="11"/>
        </w:numPr>
        <w:ind w:left="1440"/>
      </w:pPr>
      <w:r>
        <w:t>Motility disorder;</w:t>
      </w:r>
    </w:p>
    <w:p w14:paraId="1D73218C" w14:textId="77777777" w:rsidR="00767B5E" w:rsidRDefault="00767B5E" w:rsidP="001A68FD">
      <w:pPr>
        <w:numPr>
          <w:ilvl w:val="3"/>
          <w:numId w:val="11"/>
        </w:numPr>
        <w:ind w:left="1440"/>
      </w:pPr>
      <w:r>
        <w:t>Newborn anomalies of the gastrointestinal tract which prevent or contraindicate oral feedings such as tracheoesophageal fistula, gastroschisis, omphalocele, or massive intestinal atresia;</w:t>
      </w:r>
    </w:p>
    <w:p w14:paraId="1D73218D" w14:textId="77777777" w:rsidR="00767B5E" w:rsidRDefault="00767B5E" w:rsidP="001A68FD">
      <w:pPr>
        <w:numPr>
          <w:ilvl w:val="3"/>
          <w:numId w:val="11"/>
        </w:numPr>
        <w:ind w:left="1440"/>
      </w:pPr>
      <w:r>
        <w:t>Infants and young children who fail to thrive due to cardiac or respiratory disease, short bowel syndrome, malabsorption or chronic idiopathic diarrhea;</w:t>
      </w:r>
    </w:p>
    <w:p w14:paraId="1D73218E" w14:textId="77777777" w:rsidR="00767B5E" w:rsidRDefault="00767B5E" w:rsidP="001A68FD">
      <w:pPr>
        <w:numPr>
          <w:ilvl w:val="3"/>
          <w:numId w:val="11"/>
        </w:numPr>
        <w:ind w:left="1440"/>
      </w:pPr>
      <w:r>
        <w:t>Prolonged paralytic ileus following a major surgical procedure or multiple injuries.</w:t>
      </w:r>
    </w:p>
    <w:p w14:paraId="1D73218F" w14:textId="77777777" w:rsidR="00767B5E" w:rsidRDefault="00767B5E" w:rsidP="00B32B58"/>
    <w:p w14:paraId="1D732190" w14:textId="77777777" w:rsidR="00767B5E" w:rsidRDefault="00767B5E" w:rsidP="00356DEA">
      <w:pPr>
        <w:ind w:left="720"/>
      </w:pPr>
      <w:r>
        <w:lastRenderedPageBreak/>
        <w:t xml:space="preserve">Initial approval duration for TPN is for 3 months. Continued approval duration is 6 months, given that the member has no evidence of unacceptable complications from treatment, and documentation supports positive response to therapy. </w:t>
      </w:r>
    </w:p>
    <w:p w14:paraId="1D732191" w14:textId="77777777" w:rsidR="00767B5E" w:rsidRDefault="00767B5E" w:rsidP="00B32B58"/>
    <w:p w14:paraId="1D732192" w14:textId="77777777" w:rsidR="00767B5E" w:rsidRPr="006431F3" w:rsidRDefault="00767B5E" w:rsidP="004930C0">
      <w:pPr>
        <w:numPr>
          <w:ilvl w:val="1"/>
          <w:numId w:val="11"/>
        </w:numPr>
        <w:ind w:left="720"/>
      </w:pPr>
      <w:r w:rsidRPr="006431F3">
        <w:rPr>
          <w:i/>
        </w:rPr>
        <w:t>Int</w:t>
      </w:r>
      <w:r>
        <w:rPr>
          <w:i/>
        </w:rPr>
        <w:t>radialytic Parenteral Nutrition</w:t>
      </w:r>
      <w:r w:rsidRPr="006431F3">
        <w:rPr>
          <w:i/>
        </w:rPr>
        <w:t xml:space="preserve">, </w:t>
      </w:r>
      <w:r w:rsidRPr="006431F3">
        <w:t>w</w:t>
      </w:r>
      <w:r w:rsidRPr="006431F3">
        <w:rPr>
          <w:bCs/>
        </w:rPr>
        <w:t>hen all the following criteria are met</w:t>
      </w:r>
      <w:r w:rsidRPr="006431F3">
        <w:t>:</w:t>
      </w:r>
      <w:r w:rsidRPr="00B06C58">
        <w:t xml:space="preserve"> </w:t>
      </w:r>
    </w:p>
    <w:p w14:paraId="1D732193" w14:textId="77777777" w:rsidR="00767B5E" w:rsidRPr="006431F3" w:rsidRDefault="00767B5E" w:rsidP="004930C0">
      <w:pPr>
        <w:numPr>
          <w:ilvl w:val="2"/>
          <w:numId w:val="11"/>
        </w:numPr>
        <w:ind w:left="1080" w:hanging="360"/>
      </w:pPr>
      <w:r w:rsidRPr="006431F3">
        <w:t xml:space="preserve">Meets TPN criteria in </w:t>
      </w:r>
      <w:r w:rsidR="002945FD">
        <w:t xml:space="preserve">section </w:t>
      </w:r>
      <w:r w:rsidRPr="006431F3">
        <w:t>A</w:t>
      </w:r>
      <w:r>
        <w:t>;</w:t>
      </w:r>
    </w:p>
    <w:p w14:paraId="1D732194" w14:textId="77777777" w:rsidR="00767B5E" w:rsidRPr="006431F3" w:rsidRDefault="00767B5E" w:rsidP="004930C0">
      <w:pPr>
        <w:numPr>
          <w:ilvl w:val="2"/>
          <w:numId w:val="11"/>
        </w:numPr>
        <w:ind w:left="1080" w:hanging="360"/>
      </w:pPr>
      <w:r w:rsidRPr="006431F3">
        <w:t xml:space="preserve">Patient has </w:t>
      </w:r>
      <w:r>
        <w:t>ESRD;</w:t>
      </w:r>
    </w:p>
    <w:p w14:paraId="1D732195" w14:textId="77777777" w:rsidR="00767B5E" w:rsidRPr="006431F3" w:rsidRDefault="00767B5E" w:rsidP="004930C0">
      <w:pPr>
        <w:numPr>
          <w:ilvl w:val="2"/>
          <w:numId w:val="11"/>
        </w:numPr>
        <w:ind w:left="1080" w:hanging="360"/>
      </w:pPr>
      <w:r w:rsidRPr="006431F3">
        <w:t>Patient is undergoing hemodialysis</w:t>
      </w:r>
      <w:r>
        <w:t>;</w:t>
      </w:r>
      <w:r w:rsidRPr="006431F3">
        <w:t xml:space="preserve"> </w:t>
      </w:r>
    </w:p>
    <w:p w14:paraId="1D732196" w14:textId="77777777" w:rsidR="00767B5E" w:rsidRPr="006431F3" w:rsidRDefault="00767B5E" w:rsidP="004930C0">
      <w:pPr>
        <w:numPr>
          <w:ilvl w:val="2"/>
          <w:numId w:val="11"/>
        </w:numPr>
        <w:ind w:left="1080" w:hanging="360"/>
      </w:pPr>
      <w:r w:rsidRPr="006431F3">
        <w:t xml:space="preserve">IDPN is offered as an alternative to regularly scheduled TPN.  </w:t>
      </w:r>
    </w:p>
    <w:p w14:paraId="1D732197" w14:textId="77777777" w:rsidR="00767B5E" w:rsidRDefault="00767B5E" w:rsidP="00781BE8">
      <w:pPr>
        <w:ind w:left="810" w:firstLine="360"/>
      </w:pPr>
    </w:p>
    <w:p w14:paraId="1D732198" w14:textId="77777777" w:rsidR="00767B5E" w:rsidRDefault="00767B5E" w:rsidP="00356DEA">
      <w:pPr>
        <w:ind w:left="720"/>
      </w:pPr>
      <w:r>
        <w:t xml:space="preserve">Initial approval duration for IDPN is for 3 months. Continued approval duration is 6 months, given that the member has no evidence of unacceptable complications from treatment and documentation supports positive response to therapy. </w:t>
      </w:r>
    </w:p>
    <w:p w14:paraId="1D732199" w14:textId="77777777" w:rsidR="00767B5E" w:rsidRPr="006431F3" w:rsidRDefault="00767B5E" w:rsidP="00781BE8">
      <w:pPr>
        <w:ind w:left="810" w:firstLine="360"/>
      </w:pPr>
    </w:p>
    <w:p w14:paraId="1D73219A" w14:textId="77777777" w:rsidR="00767B5E" w:rsidRDefault="00767B5E" w:rsidP="00F9746E">
      <w:pPr>
        <w:numPr>
          <w:ilvl w:val="0"/>
          <w:numId w:val="11"/>
        </w:numPr>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the following indications are </w:t>
      </w:r>
      <w:r w:rsidR="007257E2">
        <w:rPr>
          <w:b/>
        </w:rPr>
        <w:t>experimental</w:t>
      </w:r>
      <w:r>
        <w:rPr>
          <w:b/>
        </w:rPr>
        <w:t>/investigational</w:t>
      </w:r>
      <w:r>
        <w:t>:</w:t>
      </w:r>
    </w:p>
    <w:p w14:paraId="1D73219B" w14:textId="77777777" w:rsidR="00767B5E" w:rsidRDefault="00767B5E" w:rsidP="004930C0">
      <w:pPr>
        <w:numPr>
          <w:ilvl w:val="1"/>
          <w:numId w:val="11"/>
        </w:numPr>
        <w:ind w:left="720"/>
      </w:pPr>
      <w:r w:rsidRPr="00F9746E">
        <w:rPr>
          <w:i/>
        </w:rPr>
        <w:t>Total Parent</w:t>
      </w:r>
      <w:r>
        <w:rPr>
          <w:i/>
        </w:rPr>
        <w:t>er</w:t>
      </w:r>
      <w:r w:rsidRPr="00F9746E">
        <w:rPr>
          <w:i/>
        </w:rPr>
        <w:t>al Nutrition</w:t>
      </w:r>
      <w:r w:rsidRPr="005226ED">
        <w:t>:</w:t>
      </w:r>
    </w:p>
    <w:p w14:paraId="1D73219C" w14:textId="77777777" w:rsidR="00767B5E" w:rsidRDefault="00767B5E" w:rsidP="007257E2">
      <w:pPr>
        <w:numPr>
          <w:ilvl w:val="2"/>
          <w:numId w:val="11"/>
        </w:numPr>
        <w:ind w:left="1080" w:hanging="360"/>
      </w:pPr>
      <w:r>
        <w:t xml:space="preserve">Children who were previously well nourished or mildly malnourished, who are </w:t>
      </w:r>
      <w:r w:rsidR="00B056D0">
        <w:t xml:space="preserve">   </w:t>
      </w:r>
      <w:r>
        <w:t>undergoing oncologic treatment associated with a low nutrition risk (e.g. less advanced disease, less intense cancer treatments, advanced disease in remission during maintenance treatment)</w:t>
      </w:r>
      <w:r w:rsidRPr="00020976">
        <w:t>;</w:t>
      </w:r>
    </w:p>
    <w:p w14:paraId="1D73219D" w14:textId="77777777" w:rsidR="00767B5E" w:rsidRDefault="00767B5E" w:rsidP="007257E2">
      <w:pPr>
        <w:numPr>
          <w:ilvl w:val="2"/>
          <w:numId w:val="11"/>
        </w:numPr>
        <w:ind w:left="1080" w:hanging="360"/>
      </w:pPr>
      <w:r>
        <w:t>Patients with advanced cancer whose malignancy is documented as unresponsive to chemotherapy or radiation therapy;</w:t>
      </w:r>
    </w:p>
    <w:p w14:paraId="1D73219E" w14:textId="77777777" w:rsidR="00767B5E" w:rsidRDefault="00767B5E" w:rsidP="007257E2">
      <w:pPr>
        <w:numPr>
          <w:ilvl w:val="2"/>
          <w:numId w:val="11"/>
        </w:numPr>
        <w:ind w:left="1080" w:hanging="360"/>
      </w:pPr>
      <w:r>
        <w:t>Patients for whom liver transplantation is not feasible and whose prognosis will not change in spite of TPN therapy;</w:t>
      </w:r>
    </w:p>
    <w:p w14:paraId="1D73219F" w14:textId="77777777" w:rsidR="00767B5E" w:rsidRDefault="00767B5E" w:rsidP="004930C0">
      <w:pPr>
        <w:numPr>
          <w:ilvl w:val="1"/>
          <w:numId w:val="11"/>
        </w:numPr>
        <w:ind w:left="720"/>
      </w:pPr>
      <w:r>
        <w:rPr>
          <w:i/>
        </w:rPr>
        <w:t xml:space="preserve">Intradialytic </w:t>
      </w:r>
      <w:r w:rsidRPr="00F9746E">
        <w:rPr>
          <w:i/>
        </w:rPr>
        <w:t>Parent</w:t>
      </w:r>
      <w:r>
        <w:rPr>
          <w:i/>
        </w:rPr>
        <w:t>er</w:t>
      </w:r>
      <w:r w:rsidRPr="00F9746E">
        <w:rPr>
          <w:i/>
        </w:rPr>
        <w:t>al Nutrition</w:t>
      </w:r>
      <w:r>
        <w:t xml:space="preserve">, </w:t>
      </w:r>
      <w:r w:rsidRPr="005226ED">
        <w:t>w</w:t>
      </w:r>
      <w:r w:rsidRPr="005226ED">
        <w:rPr>
          <w:bCs/>
          <w:color w:val="000000"/>
        </w:rPr>
        <w:t>hen a</w:t>
      </w:r>
      <w:r>
        <w:rPr>
          <w:bCs/>
          <w:color w:val="000000"/>
        </w:rPr>
        <w:t>ny</w:t>
      </w:r>
      <w:r w:rsidRPr="005226ED">
        <w:rPr>
          <w:bCs/>
          <w:color w:val="000000"/>
        </w:rPr>
        <w:t xml:space="preserve"> </w:t>
      </w:r>
      <w:r>
        <w:rPr>
          <w:bCs/>
          <w:color w:val="000000"/>
        </w:rPr>
        <w:t xml:space="preserve">of </w:t>
      </w:r>
      <w:r w:rsidRPr="005226ED">
        <w:rPr>
          <w:bCs/>
          <w:color w:val="000000"/>
        </w:rPr>
        <w:t>the following criteria are met</w:t>
      </w:r>
      <w:r w:rsidRPr="005226ED">
        <w:t>:</w:t>
      </w:r>
    </w:p>
    <w:p w14:paraId="1D7321A0" w14:textId="77777777" w:rsidR="00767B5E" w:rsidRDefault="00767B5E" w:rsidP="007257E2">
      <w:pPr>
        <w:numPr>
          <w:ilvl w:val="2"/>
          <w:numId w:val="11"/>
        </w:numPr>
        <w:ind w:left="1080" w:hanging="360"/>
      </w:pPr>
      <w:r>
        <w:t>IDPN treatments offered in addition to regularly scheduled infusions of TPN;</w:t>
      </w:r>
    </w:p>
    <w:p w14:paraId="1D7321A1" w14:textId="77777777" w:rsidR="00767B5E" w:rsidRDefault="00767B5E" w:rsidP="007257E2">
      <w:pPr>
        <w:numPr>
          <w:ilvl w:val="2"/>
          <w:numId w:val="11"/>
        </w:numPr>
        <w:ind w:left="1080" w:hanging="360"/>
      </w:pPr>
      <w:r>
        <w:t>IDPN treatments in patients who are suffering from acute kidney injury and who do not have ESRD.</w:t>
      </w:r>
    </w:p>
    <w:p w14:paraId="1D7321A2" w14:textId="77777777" w:rsidR="00767B5E" w:rsidRDefault="00767B5E" w:rsidP="00FB0592">
      <w:pPr>
        <w:pStyle w:val="Heading2"/>
        <w:rPr>
          <w:u w:val="none"/>
        </w:rPr>
      </w:pPr>
    </w:p>
    <w:p w14:paraId="1D7321A3" w14:textId="77777777" w:rsidR="00767B5E" w:rsidRPr="009E7973" w:rsidRDefault="00767B5E" w:rsidP="00FB0592">
      <w:pPr>
        <w:pStyle w:val="Heading2"/>
        <w:rPr>
          <w:u w:val="none"/>
        </w:rPr>
      </w:pPr>
      <w:r w:rsidRPr="009E7973">
        <w:rPr>
          <w:u w:val="none"/>
        </w:rPr>
        <w:t>Background</w:t>
      </w:r>
    </w:p>
    <w:p w14:paraId="1D7321A4" w14:textId="77777777" w:rsidR="00767B5E" w:rsidRPr="009E7973" w:rsidRDefault="00767B5E" w:rsidP="00802A29">
      <w:r w:rsidRPr="009E7973">
        <w:rPr>
          <w:i/>
        </w:rPr>
        <w:t>Total Parenteral Nutrition</w:t>
      </w:r>
    </w:p>
    <w:p w14:paraId="1D7321A5" w14:textId="77777777" w:rsidR="00767B5E" w:rsidRPr="009E7973" w:rsidRDefault="00767B5E">
      <w:pPr>
        <w:rPr>
          <w:b/>
          <w:bCs/>
        </w:rPr>
      </w:pPr>
      <w:r w:rsidRPr="009E7973">
        <w:t>TPN is the delivery of macronutrients (</w:t>
      </w:r>
      <w:r w:rsidRPr="009E7973">
        <w:rPr>
          <w:i/>
        </w:rPr>
        <w:t>i.e.</w:t>
      </w:r>
      <w:r w:rsidRPr="009E7973">
        <w:t xml:space="preserve"> proteins, fats, and carbohydrates) and micronutrients (</w:t>
      </w:r>
      <w:r w:rsidRPr="009E7973">
        <w:rPr>
          <w:i/>
        </w:rPr>
        <w:t>i.e</w:t>
      </w:r>
      <w:r w:rsidRPr="009E7973">
        <w:t>. vitamins, minerals, and</w:t>
      </w:r>
      <w:r>
        <w:t xml:space="preserve"> trace elements) intravenously.</w:t>
      </w:r>
      <w:r w:rsidRPr="009E7973">
        <w:t xml:space="preserve"> </w:t>
      </w:r>
      <w:r>
        <w:t>T</w:t>
      </w:r>
      <w:r w:rsidRPr="009E7973">
        <w:t>PN is indicated in situations for which the gastrointestinal tract is incapable of digesting nutrients through enteral (o</w:t>
      </w:r>
      <w:r>
        <w:t>ral or feeding tube) nutrition.</w:t>
      </w:r>
      <w:r w:rsidRPr="009E7973">
        <w:t xml:space="preserve"> Short</w:t>
      </w:r>
      <w:r>
        <w:t>-</w:t>
      </w:r>
      <w:r w:rsidRPr="009E7973">
        <w:t xml:space="preserve">term </w:t>
      </w:r>
      <w:r>
        <w:t>T</w:t>
      </w:r>
      <w:r w:rsidRPr="009E7973">
        <w:t>PN is delivered peripherally through a subclavian, internal jugular, or a femora</w:t>
      </w:r>
      <w:r>
        <w:t>l</w:t>
      </w:r>
      <w:r w:rsidRPr="009E7973">
        <w:t xml:space="preserve"> central venous catheter while long</w:t>
      </w:r>
      <w:r>
        <w:t>-</w:t>
      </w:r>
      <w:r w:rsidRPr="009E7973">
        <w:t xml:space="preserve">term </w:t>
      </w:r>
      <w:r>
        <w:t>T</w:t>
      </w:r>
      <w:r w:rsidRPr="009E7973">
        <w:t>PN requires a tunneled central venous cathe</w:t>
      </w:r>
      <w:r>
        <w:t>ter</w:t>
      </w:r>
      <w:r w:rsidRPr="009E7973">
        <w:t>, such as a Hickman, Groshong catheter, or a</w:t>
      </w:r>
      <w:r>
        <w:t>n</w:t>
      </w:r>
      <w:r w:rsidRPr="009E7973">
        <w:t xml:space="preserve"> implanted</w:t>
      </w:r>
      <w:r>
        <w:t xml:space="preserve"> infusion port.</w:t>
      </w:r>
      <w:r w:rsidRPr="009E7973">
        <w:rPr>
          <w:vertAlign w:val="superscript"/>
        </w:rPr>
        <w:t>1</w:t>
      </w:r>
    </w:p>
    <w:p w14:paraId="1D7321A6" w14:textId="77777777" w:rsidR="00767B5E" w:rsidRPr="002945FD" w:rsidRDefault="00767B5E" w:rsidP="00802A29"/>
    <w:p w14:paraId="1D7321A7" w14:textId="77777777" w:rsidR="000704E2" w:rsidRDefault="00767B5E" w:rsidP="00802A29">
      <w:pPr>
        <w:rPr>
          <w:color w:val="222222"/>
          <w:shd w:val="clear" w:color="auto" w:fill="FFFFFF"/>
          <w:vertAlign w:val="superscript"/>
        </w:rPr>
      </w:pPr>
      <w:r w:rsidRPr="009E7973">
        <w:t>Some of the advantages of TPN include the ease of administration, easier correction of fluid and electrolyte disturbances, and the ability to manage nutrition in the setting of mucositis.  However, some disadvantages of TPN include, catheter</w:t>
      </w:r>
      <w:r>
        <w:t>-</w:t>
      </w:r>
      <w:r w:rsidRPr="009E7973">
        <w:t>associated infections, fluid overload, hyperglycemia, catheter</w:t>
      </w:r>
      <w:r>
        <w:t>-</w:t>
      </w:r>
      <w:r w:rsidRPr="009E7973">
        <w:t>associated thrombosis, hepatic thrombosis, hepatic dysfunction, blood electrolyte abnormalities, and enterocyte atrophy.</w:t>
      </w:r>
      <w:r w:rsidRPr="009E7973">
        <w:rPr>
          <w:color w:val="222222"/>
          <w:shd w:val="clear" w:color="auto" w:fill="FFFFFF"/>
          <w:vertAlign w:val="superscript"/>
        </w:rPr>
        <w:t>2</w:t>
      </w:r>
    </w:p>
    <w:p w14:paraId="38B348A2" w14:textId="77777777" w:rsidR="00A54B7A" w:rsidRDefault="00A54B7A" w:rsidP="00802A29">
      <w:pPr>
        <w:rPr>
          <w:i/>
        </w:rPr>
      </w:pPr>
    </w:p>
    <w:p w14:paraId="1D7321A8" w14:textId="77777777" w:rsidR="00652BA4" w:rsidRDefault="000704E2" w:rsidP="00802A29">
      <w:pPr>
        <w:rPr>
          <w:i/>
        </w:rPr>
      </w:pPr>
      <w:r>
        <w:rPr>
          <w:i/>
        </w:rPr>
        <w:t>American Gastroenterological Association</w:t>
      </w:r>
    </w:p>
    <w:p w14:paraId="1D7321A9" w14:textId="77777777" w:rsidR="000704E2" w:rsidRPr="002945FD" w:rsidRDefault="000704E2" w:rsidP="000704E2">
      <w:r w:rsidRPr="000704E2">
        <w:lastRenderedPageBreak/>
        <w:t xml:space="preserve">Long-term </w:t>
      </w:r>
      <w:r>
        <w:t>PN</w:t>
      </w:r>
      <w:r w:rsidRPr="000704E2">
        <w:t xml:space="preserve"> is indicated for patients</w:t>
      </w:r>
      <w:r>
        <w:t xml:space="preserve"> </w:t>
      </w:r>
      <w:r w:rsidRPr="000704E2">
        <w:t>with prolonged gastrointestinal tract failure</w:t>
      </w:r>
      <w:r>
        <w:t xml:space="preserve"> </w:t>
      </w:r>
      <w:r w:rsidRPr="000704E2">
        <w:t>that prevents the absorption of adequate nutrients</w:t>
      </w:r>
      <w:r>
        <w:t xml:space="preserve"> </w:t>
      </w:r>
      <w:r w:rsidRPr="000704E2">
        <w:t>to sustain life</w:t>
      </w:r>
      <w:r>
        <w:t xml:space="preserve">. </w:t>
      </w:r>
      <w:r w:rsidR="006424E9" w:rsidRPr="002945FD">
        <w:rPr>
          <w:vertAlign w:val="superscript"/>
        </w:rPr>
        <w:t>7</w:t>
      </w:r>
    </w:p>
    <w:p w14:paraId="1D7321AA" w14:textId="77777777" w:rsidR="000704E2" w:rsidRDefault="000704E2" w:rsidP="00802A29">
      <w:pPr>
        <w:rPr>
          <w:i/>
        </w:rPr>
      </w:pPr>
    </w:p>
    <w:p w14:paraId="1D7321AB" w14:textId="77777777" w:rsidR="00767B5E" w:rsidRPr="009E7973" w:rsidRDefault="00652BA4" w:rsidP="00802A29">
      <w:r>
        <w:rPr>
          <w:i/>
        </w:rPr>
        <w:t>I</w:t>
      </w:r>
      <w:r w:rsidRPr="009E7973">
        <w:rPr>
          <w:i/>
        </w:rPr>
        <w:t>ntradialytic</w:t>
      </w:r>
      <w:r>
        <w:rPr>
          <w:i/>
        </w:rPr>
        <w:t xml:space="preserve"> </w:t>
      </w:r>
      <w:r w:rsidR="00767B5E" w:rsidRPr="009E7973">
        <w:rPr>
          <w:i/>
        </w:rPr>
        <w:t xml:space="preserve">Parenteral Nutrition </w:t>
      </w:r>
    </w:p>
    <w:p w14:paraId="1D7321AC" w14:textId="77777777" w:rsidR="008B5361" w:rsidRDefault="00767B5E" w:rsidP="003D06EB">
      <w:pPr>
        <w:rPr>
          <w:bCs/>
        </w:rPr>
      </w:pPr>
      <w:r w:rsidRPr="009E7973">
        <w:rPr>
          <w:bCs/>
        </w:rPr>
        <w:t xml:space="preserve">Malnutrition presents an ongoing concern with patients receiving chronic hemodialysis or peritoneal dialysis. Malnutrition can occur </w:t>
      </w:r>
      <w:r>
        <w:rPr>
          <w:bCs/>
        </w:rPr>
        <w:t xml:space="preserve">in </w:t>
      </w:r>
      <w:r w:rsidRPr="009E7973">
        <w:rPr>
          <w:bCs/>
        </w:rPr>
        <w:t xml:space="preserve">between 20-70% of patients, and there is a positive association with length of time on dialysis and increasing decline in nutritional parameters.  </w:t>
      </w:r>
    </w:p>
    <w:p w14:paraId="1D7321AD" w14:textId="77777777" w:rsidR="008B5361" w:rsidRPr="006B0FE3" w:rsidRDefault="008B5361" w:rsidP="003D06EB">
      <w:pPr>
        <w:rPr>
          <w:bCs/>
        </w:rPr>
      </w:pPr>
      <w:r>
        <w:rPr>
          <w:bCs/>
        </w:rPr>
        <w:t>IDPN is delivered during dialysis for patients who continue to lose weight or have very low serum albumin (&lt;</w:t>
      </w:r>
      <w:r w:rsidR="002945FD">
        <w:rPr>
          <w:bCs/>
        </w:rPr>
        <w:t xml:space="preserve"> </w:t>
      </w:r>
      <w:r>
        <w:rPr>
          <w:bCs/>
        </w:rPr>
        <w:t>3.</w:t>
      </w:r>
      <w:r w:rsidR="006424E9">
        <w:rPr>
          <w:bCs/>
        </w:rPr>
        <w:t>4</w:t>
      </w:r>
      <w:r>
        <w:rPr>
          <w:bCs/>
        </w:rPr>
        <w:t xml:space="preserve"> g/dL) despite oral supplements and for those with severe gastroparesis who may be unable to tolerate oral supplements.</w:t>
      </w:r>
      <w:r w:rsidRPr="002945FD">
        <w:rPr>
          <w:bCs/>
          <w:vertAlign w:val="superscript"/>
        </w:rPr>
        <w:t xml:space="preserve">  </w:t>
      </w:r>
      <w:r w:rsidR="006B0FE3" w:rsidRPr="002945FD">
        <w:rPr>
          <w:bCs/>
        </w:rPr>
        <w:t>Howe</w:t>
      </w:r>
      <w:r w:rsidR="006B0FE3">
        <w:rPr>
          <w:bCs/>
        </w:rPr>
        <w:t xml:space="preserve">ver, IDPN only provides 70% of the nutrients to the patient because of the loss into the dialysate. </w:t>
      </w:r>
      <w:r w:rsidR="006424E9" w:rsidRPr="002945FD">
        <w:rPr>
          <w:bCs/>
          <w:vertAlign w:val="superscript"/>
        </w:rPr>
        <w:t>3</w:t>
      </w:r>
      <w:r w:rsidR="006B0FE3" w:rsidRPr="002945FD">
        <w:rPr>
          <w:bCs/>
          <w:vertAlign w:val="superscript"/>
        </w:rPr>
        <w:t xml:space="preserve"> </w:t>
      </w:r>
    </w:p>
    <w:p w14:paraId="1D7321AE" w14:textId="77777777" w:rsidR="008B5361" w:rsidRDefault="008B5361" w:rsidP="003D06EB">
      <w:pPr>
        <w:rPr>
          <w:bCs/>
        </w:rPr>
      </w:pPr>
    </w:p>
    <w:p w14:paraId="1D7321AF" w14:textId="77777777" w:rsidR="00652BA4" w:rsidRDefault="00767B5E" w:rsidP="003D06EB">
      <w:pPr>
        <w:rPr>
          <w:bCs/>
        </w:rPr>
      </w:pPr>
      <w:r w:rsidRPr="009E7973">
        <w:rPr>
          <w:bCs/>
        </w:rPr>
        <w:t>Several societies published position guidelines that favor the use of IDPN in specific situations</w:t>
      </w:r>
      <w:r w:rsidR="00445FD8">
        <w:rPr>
          <w:bCs/>
        </w:rPr>
        <w:t>.</w:t>
      </w:r>
      <w:r w:rsidRPr="009E7973">
        <w:rPr>
          <w:bCs/>
        </w:rPr>
        <w:t xml:space="preserve">  </w:t>
      </w:r>
    </w:p>
    <w:p w14:paraId="564F8E79" w14:textId="77777777" w:rsidR="00F7766A" w:rsidRDefault="00F7766A" w:rsidP="003D06EB">
      <w:pPr>
        <w:rPr>
          <w:bCs/>
        </w:rPr>
      </w:pPr>
    </w:p>
    <w:p w14:paraId="1D7321B0" w14:textId="77777777" w:rsidR="00652BA4" w:rsidRDefault="00767B5E" w:rsidP="003D06EB">
      <w:pPr>
        <w:rPr>
          <w:bCs/>
        </w:rPr>
      </w:pPr>
      <w:r w:rsidRPr="002945FD">
        <w:rPr>
          <w:bCs/>
          <w:i/>
        </w:rPr>
        <w:t xml:space="preserve">American Society for Parenteral and Enteral Nutrition </w:t>
      </w:r>
    </w:p>
    <w:p w14:paraId="1D7321B1" w14:textId="77777777" w:rsidR="00652BA4" w:rsidRDefault="00767B5E" w:rsidP="003D06EB">
      <w:pPr>
        <w:rPr>
          <w:bCs/>
          <w:vertAlign w:val="superscript"/>
        </w:rPr>
      </w:pPr>
      <w:r w:rsidRPr="009E7973">
        <w:rPr>
          <w:bCs/>
        </w:rPr>
        <w:t xml:space="preserve">IDPN should be reserved for patients that are incapable of meeting their nutritional needs orally and who are not candidates for </w:t>
      </w:r>
      <w:r w:rsidR="008E1326">
        <w:rPr>
          <w:bCs/>
        </w:rPr>
        <w:t xml:space="preserve">enteral nutrition </w:t>
      </w:r>
      <w:r w:rsidRPr="009E7973">
        <w:rPr>
          <w:bCs/>
        </w:rPr>
        <w:t xml:space="preserve">or </w:t>
      </w:r>
      <w:r>
        <w:rPr>
          <w:bCs/>
        </w:rPr>
        <w:t>T</w:t>
      </w:r>
      <w:r w:rsidRPr="009E7973">
        <w:rPr>
          <w:bCs/>
        </w:rPr>
        <w:t>PN because of gastrointestinal intolerance, venous access problems, or other reasons.</w:t>
      </w:r>
      <w:r w:rsidRPr="009E7973">
        <w:rPr>
          <w:bCs/>
          <w:vertAlign w:val="superscript"/>
        </w:rPr>
        <w:t xml:space="preserve">4  </w:t>
      </w:r>
    </w:p>
    <w:p w14:paraId="1D7321B2" w14:textId="77777777" w:rsidR="00652BA4" w:rsidRDefault="00652BA4" w:rsidP="003D06EB">
      <w:pPr>
        <w:rPr>
          <w:bCs/>
          <w:vertAlign w:val="superscript"/>
        </w:rPr>
      </w:pPr>
    </w:p>
    <w:p w14:paraId="1D7321B3" w14:textId="77777777" w:rsidR="00652BA4" w:rsidRDefault="00767B5E" w:rsidP="003D06EB">
      <w:pPr>
        <w:rPr>
          <w:bCs/>
        </w:rPr>
      </w:pPr>
      <w:r w:rsidRPr="002945FD">
        <w:rPr>
          <w:bCs/>
          <w:i/>
        </w:rPr>
        <w:t xml:space="preserve">European Society for Clinical Nutrition and Metabolism </w:t>
      </w:r>
      <w:r w:rsidR="000D1DC6">
        <w:rPr>
          <w:bCs/>
        </w:rPr>
        <w:t xml:space="preserve"> </w:t>
      </w:r>
    </w:p>
    <w:p w14:paraId="1D7321B4" w14:textId="77777777" w:rsidR="00DE02BD" w:rsidRDefault="00767B5E" w:rsidP="003D06EB">
      <w:pPr>
        <w:rPr>
          <w:bCs/>
        </w:rPr>
      </w:pPr>
      <w:r w:rsidRPr="009E7973">
        <w:rPr>
          <w:bCs/>
        </w:rPr>
        <w:t xml:space="preserve">IDPN is indicated in undernourished patients undergoing </w:t>
      </w:r>
      <w:r>
        <w:rPr>
          <w:bCs/>
        </w:rPr>
        <w:t>hemodialysis</w:t>
      </w:r>
      <w:r w:rsidRPr="009E7973">
        <w:rPr>
          <w:bCs/>
        </w:rPr>
        <w:t xml:space="preserve"> with poor compliance to oral nutritional supplements and not requiring TPN.</w:t>
      </w:r>
      <w:r w:rsidRPr="009E7973">
        <w:rPr>
          <w:bCs/>
          <w:vertAlign w:val="superscript"/>
        </w:rPr>
        <w:t>5</w:t>
      </w:r>
      <w:r w:rsidRPr="009E7973">
        <w:rPr>
          <w:bCs/>
        </w:rPr>
        <w:t xml:space="preserve">  </w:t>
      </w:r>
    </w:p>
    <w:p w14:paraId="1D7321B5" w14:textId="77777777" w:rsidR="00DE02BD" w:rsidRDefault="00DE02BD" w:rsidP="003D06EB">
      <w:pPr>
        <w:rPr>
          <w:bCs/>
        </w:rPr>
      </w:pPr>
    </w:p>
    <w:p w14:paraId="1D7321B6" w14:textId="77777777" w:rsidR="00652BA4" w:rsidRDefault="00767B5E" w:rsidP="003D06EB">
      <w:pPr>
        <w:rPr>
          <w:color w:val="222222"/>
          <w:shd w:val="clear" w:color="auto" w:fill="FFFFFF"/>
        </w:rPr>
      </w:pPr>
      <w:r w:rsidRPr="002945FD">
        <w:rPr>
          <w:i/>
          <w:color w:val="222222"/>
          <w:shd w:val="clear" w:color="auto" w:fill="FFFFFF"/>
        </w:rPr>
        <w:t>National Kidney Foundation/Dialysis Outcomes Quality Initiative</w:t>
      </w:r>
      <w:r w:rsidRPr="009E7973">
        <w:rPr>
          <w:color w:val="222222"/>
          <w:shd w:val="clear" w:color="auto" w:fill="FFFFFF"/>
        </w:rPr>
        <w:t xml:space="preserve"> </w:t>
      </w:r>
    </w:p>
    <w:p w14:paraId="1D7321B7" w14:textId="77777777" w:rsidR="00767B5E" w:rsidRDefault="00652BA4" w:rsidP="003D06EB">
      <w:pPr>
        <w:rPr>
          <w:color w:val="222222"/>
          <w:shd w:val="clear" w:color="auto" w:fill="FFFFFF"/>
          <w:vertAlign w:val="superscript"/>
        </w:rPr>
      </w:pPr>
      <w:r>
        <w:rPr>
          <w:color w:val="222222"/>
          <w:shd w:val="clear" w:color="auto" w:fill="FFFFFF"/>
        </w:rPr>
        <w:t xml:space="preserve">These guidelines </w:t>
      </w:r>
      <w:r w:rsidR="00767B5E" w:rsidRPr="009E7973">
        <w:rPr>
          <w:color w:val="222222"/>
          <w:shd w:val="clear" w:color="auto" w:fill="FFFFFF"/>
        </w:rPr>
        <w:t>indicates that IDPN is appropriate if an intervention is combined with oral</w:t>
      </w:r>
      <w:r w:rsidR="00767B5E">
        <w:rPr>
          <w:color w:val="222222"/>
          <w:shd w:val="clear" w:color="auto" w:fill="FFFFFF"/>
        </w:rPr>
        <w:t xml:space="preserve"> nutritional </w:t>
      </w:r>
      <w:r w:rsidR="00767B5E" w:rsidRPr="009E7973">
        <w:rPr>
          <w:color w:val="222222"/>
          <w:shd w:val="clear" w:color="auto" w:fill="FFFFFF"/>
        </w:rPr>
        <w:t xml:space="preserve">supplements </w:t>
      </w:r>
      <w:r w:rsidR="00767B5E">
        <w:rPr>
          <w:color w:val="222222"/>
          <w:shd w:val="clear" w:color="auto" w:fill="FFFFFF"/>
        </w:rPr>
        <w:t xml:space="preserve">to </w:t>
      </w:r>
      <w:r w:rsidR="00767B5E" w:rsidRPr="009E7973">
        <w:rPr>
          <w:color w:val="222222"/>
          <w:shd w:val="clear" w:color="auto" w:fill="FFFFFF"/>
        </w:rPr>
        <w:t>help meet the dietary requirements of patients.</w:t>
      </w:r>
      <w:r w:rsidR="00767B5E" w:rsidRPr="009E7973">
        <w:rPr>
          <w:color w:val="222222"/>
          <w:shd w:val="clear" w:color="auto" w:fill="FFFFFF"/>
          <w:vertAlign w:val="superscript"/>
        </w:rPr>
        <w:t>6</w:t>
      </w:r>
    </w:p>
    <w:p w14:paraId="1D7321B8" w14:textId="77777777" w:rsidR="00767B5E" w:rsidRDefault="00767B5E" w:rsidP="003D06EB">
      <w:pPr>
        <w:rPr>
          <w:color w:val="222222"/>
          <w:shd w:val="clear" w:color="auto" w:fill="FFFFFF"/>
          <w:vertAlign w:val="superscript"/>
        </w:rPr>
      </w:pPr>
      <w:bookmarkStart w:id="0" w:name="Coding_Implications"/>
    </w:p>
    <w:p w14:paraId="1D7321B9" w14:textId="77777777" w:rsidR="00767B5E" w:rsidRPr="00B777AF" w:rsidRDefault="00767B5E" w:rsidP="0006518F">
      <w:pPr>
        <w:rPr>
          <w:b/>
        </w:rPr>
      </w:pPr>
      <w:r w:rsidRPr="00B777AF">
        <w:rPr>
          <w:b/>
        </w:rPr>
        <w:t>Coding Implications</w:t>
      </w:r>
    </w:p>
    <w:bookmarkEnd w:id="0"/>
    <w:p w14:paraId="1D7321BA" w14:textId="452E6952" w:rsidR="00767B5E" w:rsidRDefault="00767B5E" w:rsidP="0006518F">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w:t>
      </w:r>
      <w:r w:rsidR="00955BDD">
        <w:t xml:space="preserve"> 201</w:t>
      </w:r>
      <w:r w:rsidR="00A04FA3">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1D7321BB" w14:textId="77777777" w:rsidR="00767B5E" w:rsidRPr="00A85489" w:rsidRDefault="00767B5E" w:rsidP="0006518F"/>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9"/>
        <w:gridCol w:w="7815"/>
      </w:tblGrid>
      <w:tr w:rsidR="00767B5E" w:rsidRPr="00B777AF" w14:paraId="1D7321BE" w14:textId="77777777" w:rsidTr="00AD7308">
        <w:trPr>
          <w:tblHeader/>
        </w:trPr>
        <w:tc>
          <w:tcPr>
            <w:tcW w:w="1138" w:type="dxa"/>
            <w:shd w:val="clear" w:color="auto" w:fill="00548C"/>
          </w:tcPr>
          <w:p w14:paraId="1D7321BC" w14:textId="77777777" w:rsidR="00767B5E" w:rsidRPr="00601843" w:rsidRDefault="00767B5E" w:rsidP="00AD7308">
            <w:pPr>
              <w:rPr>
                <w:b/>
                <w:bCs/>
                <w:color w:val="FFFFFF"/>
              </w:rPr>
            </w:pPr>
            <w:r w:rsidRPr="00601843">
              <w:rPr>
                <w:b/>
                <w:color w:val="FFFFFF"/>
              </w:rPr>
              <w:t>CPT</w:t>
            </w:r>
            <w:r w:rsidRPr="00601843">
              <w:rPr>
                <w:b/>
                <w:color w:val="FFFFFF"/>
                <w:vertAlign w:val="superscript"/>
              </w:rPr>
              <w:t>®</w:t>
            </w:r>
            <w:r w:rsidRPr="00601843">
              <w:rPr>
                <w:b/>
                <w:color w:val="FFFFFF"/>
              </w:rPr>
              <w:t xml:space="preserve"> Codes </w:t>
            </w:r>
          </w:p>
        </w:tc>
        <w:tc>
          <w:tcPr>
            <w:tcW w:w="8510" w:type="dxa"/>
            <w:shd w:val="clear" w:color="auto" w:fill="00548C"/>
          </w:tcPr>
          <w:p w14:paraId="1D7321BD" w14:textId="77777777" w:rsidR="00767B5E" w:rsidRPr="00601843" w:rsidRDefault="00767B5E" w:rsidP="00AD7308">
            <w:pPr>
              <w:rPr>
                <w:b/>
                <w:bCs/>
                <w:color w:val="FFFFFF"/>
              </w:rPr>
            </w:pPr>
            <w:r w:rsidRPr="00601843">
              <w:rPr>
                <w:b/>
                <w:color w:val="FFFFFF"/>
              </w:rPr>
              <w:t>Description</w:t>
            </w:r>
          </w:p>
        </w:tc>
      </w:tr>
      <w:tr w:rsidR="00767B5E" w:rsidRPr="005144C0" w14:paraId="1D7321C1" w14:textId="77777777" w:rsidTr="00AD7308">
        <w:tc>
          <w:tcPr>
            <w:tcW w:w="1138" w:type="dxa"/>
          </w:tcPr>
          <w:p w14:paraId="1D7321BF" w14:textId="77777777" w:rsidR="00767B5E" w:rsidRPr="00601843" w:rsidRDefault="00767B5E" w:rsidP="00AD7308">
            <w:pPr>
              <w:rPr>
                <w:bCs/>
              </w:rPr>
            </w:pPr>
            <w:r>
              <w:rPr>
                <w:bCs/>
              </w:rPr>
              <w:t xml:space="preserve">N/A </w:t>
            </w:r>
          </w:p>
        </w:tc>
        <w:tc>
          <w:tcPr>
            <w:tcW w:w="8510" w:type="dxa"/>
          </w:tcPr>
          <w:p w14:paraId="1D7321C0" w14:textId="77777777" w:rsidR="00767B5E" w:rsidRPr="00601843" w:rsidRDefault="00767B5E" w:rsidP="00AD7308">
            <w:pPr>
              <w:rPr>
                <w:bCs/>
              </w:rPr>
            </w:pPr>
          </w:p>
        </w:tc>
      </w:tr>
    </w:tbl>
    <w:p w14:paraId="1D7321C2" w14:textId="77777777" w:rsidR="00767B5E" w:rsidRDefault="00767B5E" w:rsidP="0006518F"/>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7"/>
        <w:gridCol w:w="7797"/>
      </w:tblGrid>
      <w:tr w:rsidR="00767B5E" w:rsidRPr="00B777AF" w14:paraId="1D7321C5" w14:textId="77777777" w:rsidTr="0006518F">
        <w:trPr>
          <w:tblHeader/>
        </w:trPr>
        <w:tc>
          <w:tcPr>
            <w:tcW w:w="1130" w:type="dxa"/>
            <w:shd w:val="clear" w:color="auto" w:fill="00548C"/>
          </w:tcPr>
          <w:p w14:paraId="1D7321C3" w14:textId="77777777" w:rsidR="00767B5E" w:rsidRPr="00601843" w:rsidRDefault="00767B5E" w:rsidP="00AD7308">
            <w:pPr>
              <w:rPr>
                <w:b/>
                <w:bCs/>
                <w:color w:val="FFFFFF"/>
              </w:rPr>
            </w:pPr>
            <w:r w:rsidRPr="00601843">
              <w:rPr>
                <w:b/>
                <w:color w:val="FFFFFF"/>
              </w:rPr>
              <w:t xml:space="preserve">HCPCS Codes </w:t>
            </w:r>
          </w:p>
        </w:tc>
        <w:tc>
          <w:tcPr>
            <w:tcW w:w="8009" w:type="dxa"/>
            <w:shd w:val="clear" w:color="auto" w:fill="00548C"/>
          </w:tcPr>
          <w:p w14:paraId="1D7321C4" w14:textId="77777777" w:rsidR="00767B5E" w:rsidRPr="00601843" w:rsidRDefault="00767B5E" w:rsidP="00AD7308">
            <w:pPr>
              <w:rPr>
                <w:b/>
                <w:bCs/>
                <w:color w:val="FFFFFF"/>
              </w:rPr>
            </w:pPr>
            <w:r w:rsidRPr="00601843">
              <w:rPr>
                <w:b/>
                <w:color w:val="FFFFFF"/>
              </w:rPr>
              <w:t>Description</w:t>
            </w:r>
          </w:p>
        </w:tc>
      </w:tr>
      <w:tr w:rsidR="00767B5E" w:rsidRPr="005144C0" w14:paraId="1D7321C8" w14:textId="77777777" w:rsidTr="0006518F">
        <w:tc>
          <w:tcPr>
            <w:tcW w:w="1130" w:type="dxa"/>
          </w:tcPr>
          <w:p w14:paraId="1D7321C6" w14:textId="77777777" w:rsidR="00767B5E" w:rsidRPr="00603854" w:rsidRDefault="00767B5E" w:rsidP="00AD7308">
            <w:pPr>
              <w:rPr>
                <w:bCs/>
              </w:rPr>
            </w:pPr>
            <w:r w:rsidRPr="00603854">
              <w:rPr>
                <w:bCs/>
              </w:rPr>
              <w:t>B4164 – B5200</w:t>
            </w:r>
          </w:p>
        </w:tc>
        <w:tc>
          <w:tcPr>
            <w:tcW w:w="8009" w:type="dxa"/>
          </w:tcPr>
          <w:p w14:paraId="1D7321C7" w14:textId="77777777" w:rsidR="00767B5E" w:rsidRPr="00603854" w:rsidRDefault="00767B5E" w:rsidP="00AD7308">
            <w:pPr>
              <w:rPr>
                <w:bCs/>
              </w:rPr>
            </w:pPr>
            <w:r w:rsidRPr="00603854">
              <w:rPr>
                <w:bCs/>
              </w:rPr>
              <w:t>Parenteral nutrition solutions and supplies</w:t>
            </w:r>
          </w:p>
        </w:tc>
      </w:tr>
      <w:tr w:rsidR="00253862" w:rsidRPr="0029622E" w14:paraId="1D7321CB" w14:textId="77777777" w:rsidTr="0006518F">
        <w:tc>
          <w:tcPr>
            <w:tcW w:w="1130" w:type="dxa"/>
          </w:tcPr>
          <w:p w14:paraId="1D7321C9" w14:textId="77777777" w:rsidR="00253862" w:rsidRPr="0029622E" w:rsidRDefault="00253862" w:rsidP="00253862">
            <w:pPr>
              <w:pStyle w:val="Footer"/>
            </w:pPr>
            <w:r>
              <w:t>B9004</w:t>
            </w:r>
          </w:p>
        </w:tc>
        <w:tc>
          <w:tcPr>
            <w:tcW w:w="8009" w:type="dxa"/>
          </w:tcPr>
          <w:p w14:paraId="1D7321CA" w14:textId="77777777" w:rsidR="00253862" w:rsidRPr="0029622E" w:rsidRDefault="00253862" w:rsidP="00253862">
            <w:pPr>
              <w:pStyle w:val="Footer"/>
            </w:pPr>
            <w:r w:rsidRPr="00253862">
              <w:t>Parenteral nutrition infusion pump, portable</w:t>
            </w:r>
          </w:p>
        </w:tc>
      </w:tr>
      <w:tr w:rsidR="00253862" w:rsidRPr="0029622E" w14:paraId="1D7321CE" w14:textId="77777777" w:rsidTr="0006518F">
        <w:tc>
          <w:tcPr>
            <w:tcW w:w="1130" w:type="dxa"/>
          </w:tcPr>
          <w:p w14:paraId="1D7321CC" w14:textId="77777777" w:rsidR="00253862" w:rsidRDefault="00253862" w:rsidP="00253862">
            <w:pPr>
              <w:pStyle w:val="Footer"/>
            </w:pPr>
            <w:r>
              <w:t>B9006</w:t>
            </w:r>
          </w:p>
        </w:tc>
        <w:tc>
          <w:tcPr>
            <w:tcW w:w="8009" w:type="dxa"/>
          </w:tcPr>
          <w:p w14:paraId="1D7321CD" w14:textId="77777777" w:rsidR="00253862" w:rsidRPr="00253862" w:rsidRDefault="00253862" w:rsidP="00253862">
            <w:pPr>
              <w:pStyle w:val="Footer"/>
            </w:pPr>
            <w:r w:rsidRPr="00253862">
              <w:t>Parenteral nutrition infusion pump, stationary</w:t>
            </w:r>
          </w:p>
        </w:tc>
      </w:tr>
      <w:tr w:rsidR="00253862" w:rsidRPr="0029622E" w14:paraId="1D7321D1" w14:textId="77777777" w:rsidTr="0006518F">
        <w:tc>
          <w:tcPr>
            <w:tcW w:w="1130" w:type="dxa"/>
          </w:tcPr>
          <w:p w14:paraId="1D7321CF" w14:textId="77777777" w:rsidR="00253862" w:rsidRDefault="00253862" w:rsidP="00253862">
            <w:pPr>
              <w:pStyle w:val="Footer"/>
            </w:pPr>
            <w:r>
              <w:lastRenderedPageBreak/>
              <w:t>B9998</w:t>
            </w:r>
          </w:p>
        </w:tc>
        <w:tc>
          <w:tcPr>
            <w:tcW w:w="8009" w:type="dxa"/>
          </w:tcPr>
          <w:p w14:paraId="1D7321D0" w14:textId="77777777" w:rsidR="00253862" w:rsidRPr="00253862" w:rsidRDefault="00253862" w:rsidP="00253862">
            <w:pPr>
              <w:pStyle w:val="Footer"/>
            </w:pPr>
            <w:r w:rsidRPr="00253862">
              <w:t>NOC for enteral supplies</w:t>
            </w:r>
          </w:p>
        </w:tc>
      </w:tr>
      <w:tr w:rsidR="00253862" w:rsidRPr="0029622E" w14:paraId="1D7321D4" w14:textId="77777777" w:rsidTr="0006518F">
        <w:tc>
          <w:tcPr>
            <w:tcW w:w="1130" w:type="dxa"/>
          </w:tcPr>
          <w:p w14:paraId="1D7321D2" w14:textId="77777777" w:rsidR="00253862" w:rsidRDefault="00253862" w:rsidP="00253862">
            <w:pPr>
              <w:pStyle w:val="Footer"/>
            </w:pPr>
            <w:r>
              <w:t>B9999</w:t>
            </w:r>
          </w:p>
        </w:tc>
        <w:tc>
          <w:tcPr>
            <w:tcW w:w="8009" w:type="dxa"/>
          </w:tcPr>
          <w:p w14:paraId="1D7321D3" w14:textId="77777777" w:rsidR="00253862" w:rsidRPr="00253862" w:rsidRDefault="00253862" w:rsidP="00253862">
            <w:pPr>
              <w:pStyle w:val="Footer"/>
            </w:pPr>
            <w:r w:rsidRPr="00253862">
              <w:t>NOC for parenteral supplies</w:t>
            </w:r>
          </w:p>
        </w:tc>
      </w:tr>
      <w:tr w:rsidR="00507DD1" w:rsidRPr="0029622E" w14:paraId="1D7321D7" w14:textId="77777777" w:rsidTr="0006518F">
        <w:tc>
          <w:tcPr>
            <w:tcW w:w="1130" w:type="dxa"/>
          </w:tcPr>
          <w:p w14:paraId="1D7321D5" w14:textId="77777777" w:rsidR="00507DD1" w:rsidRDefault="00507DD1" w:rsidP="00253862">
            <w:pPr>
              <w:pStyle w:val="Footer"/>
            </w:pPr>
            <w:r>
              <w:t>S9364</w:t>
            </w:r>
          </w:p>
        </w:tc>
        <w:tc>
          <w:tcPr>
            <w:tcW w:w="8009" w:type="dxa"/>
          </w:tcPr>
          <w:p w14:paraId="1D7321D6" w14:textId="77777777" w:rsidR="00507DD1" w:rsidRPr="00253862" w:rsidRDefault="00507DD1" w:rsidP="00253862">
            <w:pPr>
              <w:pStyle w:val="Footer"/>
            </w:pPr>
            <w:r w:rsidRPr="00507DD1">
              <w:t>Home infusion therapy, total parenteral nutrition (TPN); administrative services, professional pharmacy services, care coordination, and all necessary supplies and equipment including standard TPN formula (lipids, specialty amino acid formulas, drugs other than in standard formula and nursing visits coded separately), per diem (do not use with home infusion codes S9365-S9368 using daily volume scales)</w:t>
            </w:r>
          </w:p>
        </w:tc>
      </w:tr>
      <w:tr w:rsidR="00507DD1" w:rsidRPr="0029622E" w14:paraId="1D7321DA" w14:textId="77777777" w:rsidTr="0006518F">
        <w:tc>
          <w:tcPr>
            <w:tcW w:w="1130" w:type="dxa"/>
          </w:tcPr>
          <w:p w14:paraId="1D7321D8" w14:textId="77777777" w:rsidR="00507DD1" w:rsidRDefault="00507DD1" w:rsidP="00253862">
            <w:pPr>
              <w:pStyle w:val="Footer"/>
            </w:pPr>
            <w:r>
              <w:t>S9365</w:t>
            </w:r>
          </w:p>
        </w:tc>
        <w:tc>
          <w:tcPr>
            <w:tcW w:w="8009" w:type="dxa"/>
          </w:tcPr>
          <w:p w14:paraId="1D7321D9" w14:textId="77777777" w:rsidR="00507DD1" w:rsidRPr="00253862" w:rsidRDefault="00507DD1" w:rsidP="00253862">
            <w:pPr>
              <w:pStyle w:val="Footer"/>
            </w:pPr>
            <w:r w:rsidRPr="00507DD1">
              <w:t>Home infusion therapy, total parenteral nutrition (TPN); 1 liter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r>
      <w:tr w:rsidR="00507DD1" w:rsidRPr="0029622E" w14:paraId="1D7321DD" w14:textId="77777777" w:rsidTr="0006518F">
        <w:tc>
          <w:tcPr>
            <w:tcW w:w="1130" w:type="dxa"/>
          </w:tcPr>
          <w:p w14:paraId="1D7321DB" w14:textId="77777777" w:rsidR="00507DD1" w:rsidRDefault="00507DD1" w:rsidP="00253862">
            <w:pPr>
              <w:pStyle w:val="Footer"/>
            </w:pPr>
            <w:r>
              <w:t>S9366</w:t>
            </w:r>
          </w:p>
        </w:tc>
        <w:tc>
          <w:tcPr>
            <w:tcW w:w="8009" w:type="dxa"/>
          </w:tcPr>
          <w:p w14:paraId="1D7321DC" w14:textId="77777777" w:rsidR="00507DD1" w:rsidRPr="00253862" w:rsidRDefault="00507DD1" w:rsidP="00253862">
            <w:pPr>
              <w:pStyle w:val="Footer"/>
            </w:pPr>
            <w:r w:rsidRPr="00507DD1">
              <w:t>Home infusion therapy, total parenteral nutrition (TPN); more than 1 liter but no more than 2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r>
      <w:tr w:rsidR="00507DD1" w:rsidRPr="0029622E" w14:paraId="1D7321E0" w14:textId="77777777" w:rsidTr="0006518F">
        <w:tc>
          <w:tcPr>
            <w:tcW w:w="1130" w:type="dxa"/>
          </w:tcPr>
          <w:p w14:paraId="1D7321DE" w14:textId="77777777" w:rsidR="00507DD1" w:rsidRDefault="00507DD1" w:rsidP="00253862">
            <w:pPr>
              <w:pStyle w:val="Footer"/>
            </w:pPr>
            <w:r>
              <w:t>S9367</w:t>
            </w:r>
          </w:p>
        </w:tc>
        <w:tc>
          <w:tcPr>
            <w:tcW w:w="8009" w:type="dxa"/>
          </w:tcPr>
          <w:p w14:paraId="1D7321DF" w14:textId="77777777" w:rsidR="00507DD1" w:rsidRPr="00253862" w:rsidRDefault="00507DD1" w:rsidP="00253862">
            <w:pPr>
              <w:pStyle w:val="Footer"/>
            </w:pPr>
            <w:r w:rsidRPr="00507DD1">
              <w:t>Home infusion therapy, total parenteral nutrition (TPN); more than 2 liters but no more than 3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r>
      <w:tr w:rsidR="00507DD1" w:rsidRPr="0029622E" w14:paraId="1D7321E3" w14:textId="77777777" w:rsidTr="0006518F">
        <w:tc>
          <w:tcPr>
            <w:tcW w:w="1130" w:type="dxa"/>
          </w:tcPr>
          <w:p w14:paraId="1D7321E1" w14:textId="77777777" w:rsidR="00507DD1" w:rsidRDefault="00507DD1" w:rsidP="00253862">
            <w:pPr>
              <w:pStyle w:val="Footer"/>
            </w:pPr>
            <w:r>
              <w:t>S9368</w:t>
            </w:r>
          </w:p>
        </w:tc>
        <w:tc>
          <w:tcPr>
            <w:tcW w:w="8009" w:type="dxa"/>
          </w:tcPr>
          <w:p w14:paraId="1D7321E2" w14:textId="77777777" w:rsidR="00507DD1" w:rsidRPr="00253862" w:rsidRDefault="00507DD1" w:rsidP="00253862">
            <w:pPr>
              <w:pStyle w:val="Footer"/>
            </w:pPr>
            <w:r w:rsidRPr="00507DD1">
              <w:t>Home infusion therapy, total parenteral nutrition (TPN); more than 3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r>
    </w:tbl>
    <w:p w14:paraId="1D7321E4" w14:textId="77777777" w:rsidR="002945FD" w:rsidRDefault="002945FD" w:rsidP="0006518F">
      <w:pPr>
        <w:rPr>
          <w:b/>
        </w:rPr>
      </w:pPr>
    </w:p>
    <w:p w14:paraId="1D7321E5" w14:textId="77777777" w:rsidR="00767B5E" w:rsidRPr="0029622E" w:rsidRDefault="00767B5E" w:rsidP="0006518F">
      <w:pPr>
        <w:rPr>
          <w:b/>
        </w:rPr>
      </w:pPr>
      <w:r w:rsidRPr="0029622E">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5"/>
        <w:gridCol w:w="7039"/>
      </w:tblGrid>
      <w:tr w:rsidR="0029622E" w:rsidRPr="0029622E" w14:paraId="1D7321E8" w14:textId="77777777" w:rsidTr="00DF5803">
        <w:trPr>
          <w:tblHeader/>
        </w:trPr>
        <w:tc>
          <w:tcPr>
            <w:tcW w:w="1885" w:type="dxa"/>
            <w:shd w:val="clear" w:color="auto" w:fill="00548C"/>
          </w:tcPr>
          <w:p w14:paraId="1D7321E6" w14:textId="77777777" w:rsidR="00767B5E" w:rsidRPr="0029622E" w:rsidRDefault="00767B5E" w:rsidP="00AD7308">
            <w:pPr>
              <w:rPr>
                <w:b/>
                <w:bCs/>
                <w:color w:val="FFFFFF" w:themeColor="background1"/>
              </w:rPr>
            </w:pPr>
            <w:r w:rsidRPr="0029622E">
              <w:rPr>
                <w:b/>
                <w:color w:val="FFFFFF" w:themeColor="background1"/>
              </w:rPr>
              <w:t>ICD-10-CM Code</w:t>
            </w:r>
          </w:p>
        </w:tc>
        <w:tc>
          <w:tcPr>
            <w:tcW w:w="7039" w:type="dxa"/>
            <w:shd w:val="clear" w:color="auto" w:fill="00548C"/>
          </w:tcPr>
          <w:p w14:paraId="1D7321E7" w14:textId="77777777" w:rsidR="00767B5E" w:rsidRPr="0029622E" w:rsidRDefault="00767B5E" w:rsidP="00AD7308">
            <w:pPr>
              <w:rPr>
                <w:b/>
                <w:bCs/>
                <w:color w:val="FFFFFF" w:themeColor="background1"/>
              </w:rPr>
            </w:pPr>
            <w:r w:rsidRPr="0029622E">
              <w:rPr>
                <w:b/>
                <w:color w:val="FFFFFF" w:themeColor="background1"/>
              </w:rPr>
              <w:t>Description</w:t>
            </w:r>
          </w:p>
        </w:tc>
      </w:tr>
      <w:tr w:rsidR="00DD0C76" w:rsidRPr="0029622E" w14:paraId="1D7321EB" w14:textId="77777777" w:rsidTr="00DF5803">
        <w:tc>
          <w:tcPr>
            <w:tcW w:w="1885" w:type="dxa"/>
          </w:tcPr>
          <w:p w14:paraId="1D7321E9" w14:textId="77777777" w:rsidR="00DD0C76" w:rsidRPr="0029622E" w:rsidRDefault="00DD0C76" w:rsidP="009E663E">
            <w:r>
              <w:t>K50.00-K50.919</w:t>
            </w:r>
          </w:p>
        </w:tc>
        <w:tc>
          <w:tcPr>
            <w:tcW w:w="7039" w:type="dxa"/>
          </w:tcPr>
          <w:p w14:paraId="1D7321EA" w14:textId="77777777" w:rsidR="00DD0C76" w:rsidRDefault="00DD0C76" w:rsidP="009E663E">
            <w:r w:rsidRPr="00DD0C76">
              <w:t>Crohn</w:t>
            </w:r>
            <w:r>
              <w:t>’</w:t>
            </w:r>
            <w:r w:rsidRPr="00DD0C76">
              <w:t>s disease [regional enteritis]</w:t>
            </w:r>
          </w:p>
        </w:tc>
      </w:tr>
      <w:tr w:rsidR="009D5A98" w:rsidRPr="0029622E" w14:paraId="1D7321EE" w14:textId="77777777" w:rsidTr="00DF5803">
        <w:tc>
          <w:tcPr>
            <w:tcW w:w="1885" w:type="dxa"/>
          </w:tcPr>
          <w:p w14:paraId="1D7321EC" w14:textId="77777777" w:rsidR="009D5A98" w:rsidRDefault="009D5A98" w:rsidP="009E663E">
            <w:r>
              <w:t>K56.0</w:t>
            </w:r>
          </w:p>
        </w:tc>
        <w:tc>
          <w:tcPr>
            <w:tcW w:w="7039" w:type="dxa"/>
          </w:tcPr>
          <w:p w14:paraId="1D7321ED" w14:textId="77777777" w:rsidR="009D5A98" w:rsidRPr="00DD0C76" w:rsidRDefault="009D5A98" w:rsidP="009D5A98">
            <w:r>
              <w:t>Paralytic ileus</w:t>
            </w:r>
          </w:p>
        </w:tc>
      </w:tr>
      <w:tr w:rsidR="00DD0C76" w:rsidRPr="0029622E" w14:paraId="1D7321F1" w14:textId="77777777" w:rsidTr="00DF5803">
        <w:tc>
          <w:tcPr>
            <w:tcW w:w="1885" w:type="dxa"/>
          </w:tcPr>
          <w:p w14:paraId="1D7321EF" w14:textId="77777777" w:rsidR="00DD0C76" w:rsidRDefault="00DD0C76" w:rsidP="009E663E">
            <w:r>
              <w:t>K63.2</w:t>
            </w:r>
          </w:p>
        </w:tc>
        <w:tc>
          <w:tcPr>
            <w:tcW w:w="7039" w:type="dxa"/>
          </w:tcPr>
          <w:p w14:paraId="1D7321F0" w14:textId="77777777" w:rsidR="00DD0C76" w:rsidRPr="00DD0C76" w:rsidRDefault="00DD0C76" w:rsidP="009E663E">
            <w:r>
              <w:t>Fistula of intestine</w:t>
            </w:r>
          </w:p>
        </w:tc>
      </w:tr>
      <w:tr w:rsidR="008E1367" w:rsidRPr="0029622E" w14:paraId="026F5FB1" w14:textId="77777777" w:rsidTr="00DF5803">
        <w:tc>
          <w:tcPr>
            <w:tcW w:w="1885" w:type="dxa"/>
          </w:tcPr>
          <w:p w14:paraId="6540D2CE" w14:textId="05B6CAB8" w:rsidR="008E1367" w:rsidRDefault="008E1367" w:rsidP="009E663E">
            <w:r>
              <w:t>K90.89</w:t>
            </w:r>
          </w:p>
        </w:tc>
        <w:tc>
          <w:tcPr>
            <w:tcW w:w="7039" w:type="dxa"/>
          </w:tcPr>
          <w:p w14:paraId="02E41111" w14:textId="24E0E542" w:rsidR="008E1367" w:rsidRDefault="008E1367" w:rsidP="009E663E">
            <w:r w:rsidRPr="008E1367">
              <w:t>Other intestinal malabsorption</w:t>
            </w:r>
          </w:p>
        </w:tc>
      </w:tr>
      <w:tr w:rsidR="008E1367" w:rsidRPr="0029622E" w14:paraId="77B064EB" w14:textId="77777777" w:rsidTr="00DF5803">
        <w:tc>
          <w:tcPr>
            <w:tcW w:w="1885" w:type="dxa"/>
          </w:tcPr>
          <w:p w14:paraId="1BDA7135" w14:textId="451C7EE9" w:rsidR="008E1367" w:rsidRDefault="008E1367" w:rsidP="009E663E">
            <w:r>
              <w:t>K90.9</w:t>
            </w:r>
          </w:p>
        </w:tc>
        <w:tc>
          <w:tcPr>
            <w:tcW w:w="7039" w:type="dxa"/>
          </w:tcPr>
          <w:p w14:paraId="2635C417" w14:textId="00A1290B" w:rsidR="008E1367" w:rsidRDefault="008E1367" w:rsidP="008E1367">
            <w:r>
              <w:t>Intestinal malabsorption, unspecified</w:t>
            </w:r>
          </w:p>
        </w:tc>
      </w:tr>
      <w:tr w:rsidR="003A429E" w:rsidRPr="0029622E" w14:paraId="1D7321F4" w14:textId="77777777" w:rsidTr="00DF5803">
        <w:tc>
          <w:tcPr>
            <w:tcW w:w="1885" w:type="dxa"/>
          </w:tcPr>
          <w:p w14:paraId="1D7321F2" w14:textId="77777777" w:rsidR="003A429E" w:rsidRDefault="003A429E" w:rsidP="009E663E">
            <w:r>
              <w:t>K91.2</w:t>
            </w:r>
          </w:p>
        </w:tc>
        <w:tc>
          <w:tcPr>
            <w:tcW w:w="7039" w:type="dxa"/>
          </w:tcPr>
          <w:p w14:paraId="1D7321F3" w14:textId="77777777" w:rsidR="003A429E" w:rsidRDefault="003A429E" w:rsidP="009E663E">
            <w:r w:rsidRPr="003A429E">
              <w:t>Postsurgical malabsorption, not elsewhere classified</w:t>
            </w:r>
          </w:p>
        </w:tc>
      </w:tr>
      <w:tr w:rsidR="0029622E" w:rsidRPr="0029622E" w14:paraId="1D7321F7" w14:textId="77777777" w:rsidTr="00DF5803">
        <w:tc>
          <w:tcPr>
            <w:tcW w:w="1885" w:type="dxa"/>
          </w:tcPr>
          <w:p w14:paraId="1D7321F5" w14:textId="77777777" w:rsidR="00767B5E" w:rsidRPr="0029622E" w:rsidRDefault="00767B5E" w:rsidP="009E663E">
            <w:r w:rsidRPr="0029622E">
              <w:t>N18.</w:t>
            </w:r>
            <w:r w:rsidR="009E663E">
              <w:t>6</w:t>
            </w:r>
          </w:p>
        </w:tc>
        <w:tc>
          <w:tcPr>
            <w:tcW w:w="7039" w:type="dxa"/>
          </w:tcPr>
          <w:p w14:paraId="1D7321F6" w14:textId="77777777" w:rsidR="00767B5E" w:rsidRPr="0029622E" w:rsidRDefault="009E663E" w:rsidP="009E663E">
            <w:r>
              <w:t>End stage</w:t>
            </w:r>
            <w:r w:rsidRPr="0029622E">
              <w:t xml:space="preserve"> </w:t>
            </w:r>
            <w:r>
              <w:t>renal</w:t>
            </w:r>
            <w:r w:rsidRPr="0029622E">
              <w:t xml:space="preserve"> </w:t>
            </w:r>
            <w:r w:rsidR="00767B5E" w:rsidRPr="0029622E">
              <w:t xml:space="preserve">disease </w:t>
            </w:r>
          </w:p>
        </w:tc>
      </w:tr>
      <w:tr w:rsidR="00CA60B5" w:rsidRPr="0029622E" w14:paraId="0A2ED12E" w14:textId="77777777" w:rsidTr="00DF5803">
        <w:tc>
          <w:tcPr>
            <w:tcW w:w="1885" w:type="dxa"/>
          </w:tcPr>
          <w:p w14:paraId="1C730DA6" w14:textId="411B7EF8" w:rsidR="00CA60B5" w:rsidRPr="0029622E" w:rsidRDefault="00CA60B5" w:rsidP="009E663E">
            <w:r>
              <w:t>N32.1</w:t>
            </w:r>
          </w:p>
        </w:tc>
        <w:tc>
          <w:tcPr>
            <w:tcW w:w="7039" w:type="dxa"/>
          </w:tcPr>
          <w:p w14:paraId="04DF6B94" w14:textId="78366312" w:rsidR="00CA60B5" w:rsidRDefault="00CA60B5" w:rsidP="009E663E">
            <w:r w:rsidRPr="00CA60B5">
              <w:t>Vesicointestinal fistula</w:t>
            </w:r>
          </w:p>
        </w:tc>
      </w:tr>
      <w:tr w:rsidR="008E1367" w:rsidRPr="0029622E" w14:paraId="52AF5295" w14:textId="77777777" w:rsidTr="00DF5803">
        <w:tc>
          <w:tcPr>
            <w:tcW w:w="1885" w:type="dxa"/>
          </w:tcPr>
          <w:p w14:paraId="6AE15992" w14:textId="5C9D7341" w:rsidR="008E1367" w:rsidRDefault="008E1367" w:rsidP="009E663E">
            <w:r>
              <w:t>Q39.2</w:t>
            </w:r>
          </w:p>
        </w:tc>
        <w:tc>
          <w:tcPr>
            <w:tcW w:w="7039" w:type="dxa"/>
          </w:tcPr>
          <w:p w14:paraId="62362827" w14:textId="77A05302" w:rsidR="008E1367" w:rsidRPr="00CA60B5" w:rsidRDefault="008E1367" w:rsidP="009E663E">
            <w:r w:rsidRPr="008E1367">
              <w:t>Congenital tracheo-esophageal fistula without atresia</w:t>
            </w:r>
          </w:p>
        </w:tc>
      </w:tr>
      <w:tr w:rsidR="003A429E" w:rsidRPr="0029622E" w14:paraId="1D7321FA" w14:textId="77777777" w:rsidTr="00DF5803">
        <w:tc>
          <w:tcPr>
            <w:tcW w:w="1885" w:type="dxa"/>
          </w:tcPr>
          <w:p w14:paraId="1D7321F8" w14:textId="77777777" w:rsidR="003A429E" w:rsidRPr="0029622E" w:rsidRDefault="003A429E" w:rsidP="009E663E">
            <w:r>
              <w:t>Q41.0-Q41.9</w:t>
            </w:r>
          </w:p>
        </w:tc>
        <w:tc>
          <w:tcPr>
            <w:tcW w:w="7039" w:type="dxa"/>
          </w:tcPr>
          <w:p w14:paraId="1D7321F9" w14:textId="77777777" w:rsidR="003A429E" w:rsidRDefault="003A429E" w:rsidP="009E663E">
            <w:r w:rsidRPr="003A429E">
              <w:t>Congenital absence, atresia and stenosis of small intestine</w:t>
            </w:r>
          </w:p>
        </w:tc>
      </w:tr>
      <w:tr w:rsidR="009D5A98" w:rsidRPr="0029622E" w14:paraId="1D7321FD" w14:textId="77777777" w:rsidTr="00DF5803">
        <w:tc>
          <w:tcPr>
            <w:tcW w:w="1885" w:type="dxa"/>
          </w:tcPr>
          <w:p w14:paraId="1D7321FB" w14:textId="77777777" w:rsidR="009D5A98" w:rsidRDefault="009D5A98" w:rsidP="009E663E">
            <w:r>
              <w:t>Q79.2</w:t>
            </w:r>
          </w:p>
        </w:tc>
        <w:tc>
          <w:tcPr>
            <w:tcW w:w="7039" w:type="dxa"/>
          </w:tcPr>
          <w:p w14:paraId="1D7321FC" w14:textId="77777777" w:rsidR="009D5A98" w:rsidRPr="003A429E" w:rsidRDefault="009D5A98" w:rsidP="009D5A98">
            <w:r>
              <w:t>Exomphalos</w:t>
            </w:r>
          </w:p>
        </w:tc>
      </w:tr>
      <w:tr w:rsidR="003A429E" w:rsidRPr="0029622E" w14:paraId="1D732200" w14:textId="77777777" w:rsidTr="00DF5803">
        <w:tc>
          <w:tcPr>
            <w:tcW w:w="1885" w:type="dxa"/>
          </w:tcPr>
          <w:p w14:paraId="1D7321FE" w14:textId="77777777" w:rsidR="003A429E" w:rsidRDefault="003A429E" w:rsidP="009E663E">
            <w:r>
              <w:t>Q79.3</w:t>
            </w:r>
          </w:p>
        </w:tc>
        <w:tc>
          <w:tcPr>
            <w:tcW w:w="7039" w:type="dxa"/>
          </w:tcPr>
          <w:p w14:paraId="1D7321FF" w14:textId="77777777" w:rsidR="003A429E" w:rsidRPr="003A429E" w:rsidRDefault="003A429E" w:rsidP="009E663E">
            <w:r w:rsidRPr="003A429E">
              <w:t>Gastroschisis</w:t>
            </w:r>
          </w:p>
        </w:tc>
      </w:tr>
      <w:tr w:rsidR="00CA60B5" w:rsidRPr="0029622E" w14:paraId="4CBF9491" w14:textId="77777777" w:rsidTr="00DF5803">
        <w:tc>
          <w:tcPr>
            <w:tcW w:w="1885" w:type="dxa"/>
          </w:tcPr>
          <w:p w14:paraId="238A4A65" w14:textId="7223B5FD" w:rsidR="00CA60B5" w:rsidRDefault="00CA60B5" w:rsidP="009E663E">
            <w:r>
              <w:t>R13.10-R13.19</w:t>
            </w:r>
          </w:p>
        </w:tc>
        <w:tc>
          <w:tcPr>
            <w:tcW w:w="7039" w:type="dxa"/>
          </w:tcPr>
          <w:p w14:paraId="0B54BC11" w14:textId="5F099FF2" w:rsidR="00CA60B5" w:rsidRPr="003A429E" w:rsidRDefault="00CA60B5" w:rsidP="009E663E">
            <w:r>
              <w:t>Dysphagia</w:t>
            </w:r>
          </w:p>
        </w:tc>
      </w:tr>
      <w:tr w:rsidR="0045488E" w:rsidRPr="0029622E" w14:paraId="1D732203" w14:textId="77777777" w:rsidTr="00DF5803">
        <w:tc>
          <w:tcPr>
            <w:tcW w:w="1885" w:type="dxa"/>
          </w:tcPr>
          <w:p w14:paraId="1D732201" w14:textId="77777777" w:rsidR="0045488E" w:rsidRPr="0029622E" w:rsidRDefault="0045488E" w:rsidP="009E663E">
            <w:r>
              <w:t>R62.51</w:t>
            </w:r>
          </w:p>
        </w:tc>
        <w:tc>
          <w:tcPr>
            <w:tcW w:w="7039" w:type="dxa"/>
          </w:tcPr>
          <w:p w14:paraId="1D732202" w14:textId="77777777" w:rsidR="0045488E" w:rsidRDefault="0045488E" w:rsidP="009E663E">
            <w:r w:rsidRPr="0045488E">
              <w:t>Failure to thrive (child)</w:t>
            </w:r>
          </w:p>
        </w:tc>
      </w:tr>
      <w:tr w:rsidR="009E663E" w:rsidRPr="0029622E" w14:paraId="1D732206" w14:textId="77777777" w:rsidTr="00DF5803">
        <w:tc>
          <w:tcPr>
            <w:tcW w:w="1885" w:type="dxa"/>
          </w:tcPr>
          <w:p w14:paraId="1D732204" w14:textId="77777777" w:rsidR="009E663E" w:rsidRPr="0029622E" w:rsidDel="009E663E" w:rsidRDefault="009E663E" w:rsidP="009855B3">
            <w:r>
              <w:t>Z99.2</w:t>
            </w:r>
          </w:p>
        </w:tc>
        <w:tc>
          <w:tcPr>
            <w:tcW w:w="7039" w:type="dxa"/>
          </w:tcPr>
          <w:p w14:paraId="1D732205" w14:textId="77777777" w:rsidR="009E663E" w:rsidRPr="0029622E" w:rsidDel="009E663E" w:rsidRDefault="009E663E" w:rsidP="00DE4030">
            <w:r w:rsidRPr="009E663E">
              <w:t>Dependence on renal dialysis</w:t>
            </w:r>
          </w:p>
        </w:tc>
      </w:tr>
    </w:tbl>
    <w:p w14:paraId="1D732207" w14:textId="77777777" w:rsidR="00767B5E" w:rsidRPr="0029622E" w:rsidRDefault="00767B5E"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767B5E" w:rsidRPr="00B777AF" w14:paraId="1D73220B" w14:textId="77777777" w:rsidTr="00603854">
        <w:trPr>
          <w:tblHeader/>
        </w:trPr>
        <w:tc>
          <w:tcPr>
            <w:tcW w:w="7578" w:type="dxa"/>
            <w:tcBorders>
              <w:top w:val="single" w:sz="8" w:space="0" w:color="4F81BD"/>
            </w:tcBorders>
            <w:shd w:val="clear" w:color="auto" w:fill="00548C"/>
          </w:tcPr>
          <w:p w14:paraId="1D732208" w14:textId="77777777" w:rsidR="00767B5E" w:rsidRPr="00603854" w:rsidRDefault="00767B5E" w:rsidP="00B777AF">
            <w:pPr>
              <w:rPr>
                <w:b/>
                <w:bCs/>
                <w:color w:val="FFFFFF"/>
              </w:rPr>
            </w:pPr>
            <w:bookmarkStart w:id="1" w:name="Revision_Log"/>
            <w:r w:rsidRPr="00603854">
              <w:rPr>
                <w:b/>
                <w:color w:val="FFFFFF"/>
              </w:rPr>
              <w:t>Reviews, Revisions, and Approvals</w:t>
            </w:r>
            <w:bookmarkEnd w:id="1"/>
          </w:p>
        </w:tc>
        <w:tc>
          <w:tcPr>
            <w:tcW w:w="810" w:type="dxa"/>
            <w:shd w:val="clear" w:color="auto" w:fill="00548C"/>
          </w:tcPr>
          <w:p w14:paraId="1D732209" w14:textId="77777777" w:rsidR="00767B5E" w:rsidRPr="00603854" w:rsidRDefault="00767B5E" w:rsidP="00603854">
            <w:pPr>
              <w:jc w:val="center"/>
              <w:rPr>
                <w:b/>
                <w:bCs/>
                <w:color w:val="FFFFFF"/>
              </w:rPr>
            </w:pPr>
            <w:r w:rsidRPr="00603854">
              <w:rPr>
                <w:b/>
                <w:color w:val="FFFFFF"/>
              </w:rPr>
              <w:t>Date</w:t>
            </w:r>
          </w:p>
        </w:tc>
        <w:tc>
          <w:tcPr>
            <w:tcW w:w="1260" w:type="dxa"/>
            <w:tcBorders>
              <w:top w:val="single" w:sz="8" w:space="0" w:color="4F81BD"/>
            </w:tcBorders>
            <w:shd w:val="clear" w:color="auto" w:fill="00548C"/>
          </w:tcPr>
          <w:p w14:paraId="1D73220A" w14:textId="77777777" w:rsidR="00767B5E" w:rsidRPr="00603854" w:rsidRDefault="00767B5E" w:rsidP="00603854">
            <w:pPr>
              <w:jc w:val="center"/>
              <w:rPr>
                <w:b/>
                <w:bCs/>
                <w:color w:val="FFFFFF"/>
              </w:rPr>
            </w:pPr>
            <w:r w:rsidRPr="00603854">
              <w:rPr>
                <w:b/>
                <w:color w:val="FFFFFF"/>
              </w:rPr>
              <w:t>Approval Date</w:t>
            </w:r>
          </w:p>
        </w:tc>
      </w:tr>
      <w:tr w:rsidR="00767B5E" w14:paraId="1D73220F" w14:textId="77777777" w:rsidTr="00603854">
        <w:tc>
          <w:tcPr>
            <w:tcW w:w="7578" w:type="dxa"/>
          </w:tcPr>
          <w:p w14:paraId="1D73220C" w14:textId="77777777" w:rsidR="00767B5E" w:rsidRDefault="00767B5E" w:rsidP="00603854">
            <w:pPr>
              <w:tabs>
                <w:tab w:val="num" w:pos="720"/>
              </w:tabs>
            </w:pPr>
            <w:r>
              <w:t>Policy developed</w:t>
            </w:r>
            <w:r w:rsidR="00160399">
              <w:t xml:space="preserve"> and approved</w:t>
            </w:r>
          </w:p>
        </w:tc>
        <w:tc>
          <w:tcPr>
            <w:tcW w:w="810" w:type="dxa"/>
          </w:tcPr>
          <w:p w14:paraId="1D73220D" w14:textId="77777777" w:rsidR="00767B5E" w:rsidRDefault="00767B5E" w:rsidP="00603854">
            <w:pPr>
              <w:jc w:val="center"/>
            </w:pPr>
            <w:r>
              <w:t>04/16</w:t>
            </w:r>
          </w:p>
        </w:tc>
        <w:tc>
          <w:tcPr>
            <w:tcW w:w="1260" w:type="dxa"/>
          </w:tcPr>
          <w:p w14:paraId="1D73220E" w14:textId="77777777" w:rsidR="00767B5E" w:rsidRDefault="00767B5E" w:rsidP="00603854">
            <w:pPr>
              <w:jc w:val="center"/>
            </w:pPr>
            <w:r>
              <w:t>05/16</w:t>
            </w:r>
          </w:p>
        </w:tc>
      </w:tr>
      <w:tr w:rsidR="0029622E" w14:paraId="1D732213" w14:textId="77777777" w:rsidTr="00603854">
        <w:tc>
          <w:tcPr>
            <w:tcW w:w="7578" w:type="dxa"/>
          </w:tcPr>
          <w:p w14:paraId="1D732210" w14:textId="77777777" w:rsidR="0029622E" w:rsidRDefault="0029622E" w:rsidP="00603854">
            <w:pPr>
              <w:tabs>
                <w:tab w:val="num" w:pos="720"/>
              </w:tabs>
            </w:pPr>
            <w:r>
              <w:t>Added ICD-10 codes</w:t>
            </w:r>
          </w:p>
        </w:tc>
        <w:tc>
          <w:tcPr>
            <w:tcW w:w="810" w:type="dxa"/>
          </w:tcPr>
          <w:p w14:paraId="1D732211" w14:textId="77777777" w:rsidR="0029622E" w:rsidRDefault="0029622E" w:rsidP="00603854">
            <w:pPr>
              <w:jc w:val="center"/>
            </w:pPr>
            <w:r>
              <w:t>08/16</w:t>
            </w:r>
          </w:p>
        </w:tc>
        <w:tc>
          <w:tcPr>
            <w:tcW w:w="1260" w:type="dxa"/>
          </w:tcPr>
          <w:p w14:paraId="1D732212" w14:textId="77777777" w:rsidR="0029622E" w:rsidRDefault="00081440" w:rsidP="00603854">
            <w:pPr>
              <w:jc w:val="center"/>
            </w:pPr>
            <w:r>
              <w:t>08/16</w:t>
            </w:r>
          </w:p>
        </w:tc>
      </w:tr>
      <w:tr w:rsidR="00113DC1" w14:paraId="1D732217" w14:textId="77777777" w:rsidTr="00603854">
        <w:tc>
          <w:tcPr>
            <w:tcW w:w="7578" w:type="dxa"/>
          </w:tcPr>
          <w:p w14:paraId="1D732214" w14:textId="77777777" w:rsidR="00113DC1" w:rsidRDefault="00E51BA5" w:rsidP="00E51BA5">
            <w:pPr>
              <w:tabs>
                <w:tab w:val="num" w:pos="720"/>
              </w:tabs>
            </w:pPr>
            <w:r>
              <w:t>R</w:t>
            </w:r>
            <w:r w:rsidR="009662A7">
              <w:t>eferences</w:t>
            </w:r>
            <w:r>
              <w:t xml:space="preserve"> reviewed and updated</w:t>
            </w:r>
            <w:r w:rsidR="009662A7">
              <w:t>.</w:t>
            </w:r>
            <w:r>
              <w:t xml:space="preserve"> Added 3 month time period for weight loss &gt;10% of ideal body weight. </w:t>
            </w:r>
            <w:r w:rsidR="007C7B2B">
              <w:t>Added that protein and albumin labs should be from last 4 weeks.</w:t>
            </w:r>
            <w:r>
              <w:t xml:space="preserve"> </w:t>
            </w:r>
            <w:r w:rsidR="009662A7">
              <w:t xml:space="preserve"> </w:t>
            </w:r>
          </w:p>
        </w:tc>
        <w:tc>
          <w:tcPr>
            <w:tcW w:w="810" w:type="dxa"/>
          </w:tcPr>
          <w:p w14:paraId="1D732215" w14:textId="77777777" w:rsidR="00113DC1" w:rsidRDefault="00955BDD" w:rsidP="00603854">
            <w:pPr>
              <w:jc w:val="center"/>
            </w:pPr>
            <w:r>
              <w:t>0</w:t>
            </w:r>
            <w:r w:rsidR="00113DC1">
              <w:t>5/17</w:t>
            </w:r>
          </w:p>
        </w:tc>
        <w:tc>
          <w:tcPr>
            <w:tcW w:w="1260" w:type="dxa"/>
          </w:tcPr>
          <w:p w14:paraId="1D732216" w14:textId="77777777" w:rsidR="00113DC1" w:rsidRDefault="007C7B2B" w:rsidP="00603854">
            <w:pPr>
              <w:jc w:val="center"/>
            </w:pPr>
            <w:r>
              <w:t>05/17</w:t>
            </w:r>
          </w:p>
        </w:tc>
      </w:tr>
      <w:tr w:rsidR="00336856" w14:paraId="1D73221B" w14:textId="77777777" w:rsidTr="00603854">
        <w:tc>
          <w:tcPr>
            <w:tcW w:w="7578" w:type="dxa"/>
          </w:tcPr>
          <w:p w14:paraId="1D732218" w14:textId="77777777" w:rsidR="00336856" w:rsidRDefault="00A17537" w:rsidP="00E51BA5">
            <w:pPr>
              <w:tabs>
                <w:tab w:val="num" w:pos="720"/>
              </w:tabs>
            </w:pPr>
            <w:r>
              <w:t>References reviewed and updated.  Codes updated.</w:t>
            </w:r>
          </w:p>
        </w:tc>
        <w:tc>
          <w:tcPr>
            <w:tcW w:w="810" w:type="dxa"/>
          </w:tcPr>
          <w:p w14:paraId="1D732219" w14:textId="77777777" w:rsidR="00336856" w:rsidRDefault="00160399" w:rsidP="00603854">
            <w:pPr>
              <w:jc w:val="center"/>
            </w:pPr>
            <w:r>
              <w:t>04/18</w:t>
            </w:r>
          </w:p>
        </w:tc>
        <w:tc>
          <w:tcPr>
            <w:tcW w:w="1260" w:type="dxa"/>
          </w:tcPr>
          <w:p w14:paraId="1D73221A" w14:textId="77777777" w:rsidR="00336856" w:rsidRDefault="00FF2A63" w:rsidP="00603854">
            <w:pPr>
              <w:jc w:val="center"/>
            </w:pPr>
            <w:r>
              <w:t>04/18</w:t>
            </w:r>
          </w:p>
        </w:tc>
      </w:tr>
      <w:tr w:rsidR="00601671" w14:paraId="1D73221F" w14:textId="77777777" w:rsidTr="00603854">
        <w:tc>
          <w:tcPr>
            <w:tcW w:w="7578" w:type="dxa"/>
          </w:tcPr>
          <w:p w14:paraId="1D73221C" w14:textId="77777777" w:rsidR="00601671" w:rsidRDefault="00601671" w:rsidP="00E51BA5">
            <w:pPr>
              <w:tabs>
                <w:tab w:val="num" w:pos="720"/>
              </w:tabs>
            </w:pPr>
            <w:r>
              <w:t>Reference number changed from CP.PHAR.205 to CP.MP.163</w:t>
            </w:r>
          </w:p>
        </w:tc>
        <w:tc>
          <w:tcPr>
            <w:tcW w:w="810" w:type="dxa"/>
          </w:tcPr>
          <w:p w14:paraId="1D73221D" w14:textId="77777777" w:rsidR="00601671" w:rsidRDefault="00601671" w:rsidP="00603854">
            <w:pPr>
              <w:jc w:val="center"/>
            </w:pPr>
            <w:r>
              <w:t>04/18</w:t>
            </w:r>
          </w:p>
        </w:tc>
        <w:tc>
          <w:tcPr>
            <w:tcW w:w="1260" w:type="dxa"/>
          </w:tcPr>
          <w:p w14:paraId="1D73221E" w14:textId="77777777" w:rsidR="00601671" w:rsidRDefault="00601671" w:rsidP="00603854">
            <w:pPr>
              <w:jc w:val="center"/>
            </w:pPr>
          </w:p>
        </w:tc>
      </w:tr>
      <w:tr w:rsidR="00A04FA3" w14:paraId="79D703D7" w14:textId="77777777" w:rsidTr="00603854">
        <w:tc>
          <w:tcPr>
            <w:tcW w:w="7578" w:type="dxa"/>
          </w:tcPr>
          <w:p w14:paraId="3F4BBC07" w14:textId="5C3342BF" w:rsidR="00A04FA3" w:rsidRDefault="000435FE" w:rsidP="00E51BA5">
            <w:pPr>
              <w:tabs>
                <w:tab w:val="num" w:pos="720"/>
              </w:tabs>
            </w:pPr>
            <w:r>
              <w:t xml:space="preserve">References reviewed and updated.  </w:t>
            </w:r>
          </w:p>
        </w:tc>
        <w:tc>
          <w:tcPr>
            <w:tcW w:w="810" w:type="dxa"/>
          </w:tcPr>
          <w:p w14:paraId="5779208C" w14:textId="58AF6C4C" w:rsidR="00A04FA3" w:rsidRDefault="00A04FA3" w:rsidP="00603854">
            <w:pPr>
              <w:jc w:val="center"/>
            </w:pPr>
            <w:r>
              <w:t>03/19</w:t>
            </w:r>
          </w:p>
        </w:tc>
        <w:tc>
          <w:tcPr>
            <w:tcW w:w="1260" w:type="dxa"/>
          </w:tcPr>
          <w:p w14:paraId="5CE28A0D" w14:textId="4519A547" w:rsidR="00A04FA3" w:rsidRDefault="00F7766A" w:rsidP="00603854">
            <w:pPr>
              <w:jc w:val="center"/>
            </w:pPr>
            <w:r>
              <w:t>04/19</w:t>
            </w:r>
            <w:bookmarkStart w:id="2" w:name="_GoBack"/>
            <w:bookmarkEnd w:id="2"/>
          </w:p>
        </w:tc>
      </w:tr>
    </w:tbl>
    <w:p w14:paraId="1D732220" w14:textId="77777777" w:rsidR="00767B5E" w:rsidRDefault="00767B5E" w:rsidP="00B777AF">
      <w:pPr>
        <w:pStyle w:val="Heading6"/>
        <w:tabs>
          <w:tab w:val="clear" w:pos="0"/>
        </w:tabs>
      </w:pPr>
    </w:p>
    <w:p w14:paraId="1D732221" w14:textId="77777777" w:rsidR="00767B5E" w:rsidRPr="00B777AF" w:rsidRDefault="00767B5E" w:rsidP="00963062">
      <w:pPr>
        <w:pStyle w:val="Heading3"/>
      </w:pPr>
      <w:r>
        <w:t>References</w:t>
      </w:r>
    </w:p>
    <w:p w14:paraId="1D732222" w14:textId="208B4F26" w:rsidR="00767B5E" w:rsidRPr="009E7973" w:rsidRDefault="00767B5E" w:rsidP="008B1425">
      <w:pPr>
        <w:pStyle w:val="ListParagraph"/>
        <w:numPr>
          <w:ilvl w:val="0"/>
          <w:numId w:val="25"/>
        </w:numPr>
        <w:ind w:left="360"/>
      </w:pPr>
      <w:r w:rsidRPr="009E7973">
        <w:t xml:space="preserve">Seres D.  Nutrition support in critically ill patients:  Parenteral Nutrition., Finlay G. (Ed.) UpToDate.  </w:t>
      </w:r>
      <w:smartTag w:uri="urn:schemas-microsoft-com:office:smarttags" w:element="place">
        <w:smartTag w:uri="urn:schemas-microsoft-com:office:smarttags" w:element="City">
          <w:r w:rsidRPr="009E7973">
            <w:t>Waltham</w:t>
          </w:r>
        </w:smartTag>
        <w:r w:rsidRPr="009E7973">
          <w:t xml:space="preserve">, </w:t>
        </w:r>
        <w:smartTag w:uri="urn:schemas-microsoft-com:office:smarttags" w:element="State">
          <w:r w:rsidRPr="009E7973">
            <w:t>MA</w:t>
          </w:r>
        </w:smartTag>
      </w:smartTag>
      <w:r w:rsidRPr="009E7973">
        <w:t xml:space="preserve">.  </w:t>
      </w:r>
      <w:r w:rsidR="009662A7">
        <w:t>Updated on</w:t>
      </w:r>
      <w:r w:rsidRPr="009E7973">
        <w:t xml:space="preserve"> </w:t>
      </w:r>
      <w:r w:rsidR="008E1326">
        <w:t xml:space="preserve">February 9, 2017. </w:t>
      </w:r>
      <w:r w:rsidR="009662A7">
        <w:t>Assessed Ma</w:t>
      </w:r>
      <w:r w:rsidR="00594F4C">
        <w:t>rch 21</w:t>
      </w:r>
      <w:r w:rsidR="00624466">
        <w:t>,</w:t>
      </w:r>
      <w:r w:rsidR="009662A7">
        <w:t xml:space="preserve"> 201</w:t>
      </w:r>
      <w:r w:rsidR="00594F4C">
        <w:t>8</w:t>
      </w:r>
      <w:r w:rsidR="009662A7">
        <w:t xml:space="preserve">. </w:t>
      </w:r>
    </w:p>
    <w:p w14:paraId="1D732223" w14:textId="77777777" w:rsidR="00767B5E" w:rsidRPr="002945FD" w:rsidRDefault="00767B5E" w:rsidP="008B1425">
      <w:pPr>
        <w:pStyle w:val="ListParagraph"/>
        <w:numPr>
          <w:ilvl w:val="0"/>
          <w:numId w:val="25"/>
        </w:numPr>
        <w:ind w:left="360"/>
      </w:pPr>
      <w:r w:rsidRPr="008B1425">
        <w:rPr>
          <w:color w:val="222222"/>
          <w:shd w:val="clear" w:color="auto" w:fill="FFFFFF"/>
        </w:rPr>
        <w:t>Arfons LM, Lazarus</w:t>
      </w:r>
      <w:r w:rsidR="009E663E" w:rsidRPr="008B1425">
        <w:rPr>
          <w:color w:val="222222"/>
          <w:shd w:val="clear" w:color="auto" w:fill="FFFFFF"/>
        </w:rPr>
        <w:t xml:space="preserve"> HM.</w:t>
      </w:r>
      <w:r w:rsidRPr="008B1425">
        <w:rPr>
          <w:color w:val="222222"/>
          <w:shd w:val="clear" w:color="auto" w:fill="FFFFFF"/>
        </w:rPr>
        <w:t xml:space="preserve"> "Total parenteral nutrition and hematopoietic stem cell transplantation: an expensive placebo?"</w:t>
      </w:r>
      <w:r w:rsidRPr="00572F2F">
        <w:rPr>
          <w:rStyle w:val="apple-converted-space"/>
          <w:color w:val="222222"/>
          <w:shd w:val="clear" w:color="auto" w:fill="FFFFFF"/>
        </w:rPr>
        <w:t xml:space="preserve"> </w:t>
      </w:r>
      <w:r w:rsidRPr="002945FD">
        <w:rPr>
          <w:iCs/>
          <w:color w:val="222222"/>
          <w:shd w:val="clear" w:color="auto" w:fill="FFFFFF"/>
        </w:rPr>
        <w:t>Bone marrow transplantation</w:t>
      </w:r>
      <w:r w:rsidRPr="00572F2F">
        <w:rPr>
          <w:rStyle w:val="apple-converted-space"/>
          <w:color w:val="222222"/>
          <w:shd w:val="clear" w:color="auto" w:fill="FFFFFF"/>
        </w:rPr>
        <w:t xml:space="preserve"> </w:t>
      </w:r>
      <w:r w:rsidRPr="00572F2F">
        <w:rPr>
          <w:color w:val="222222"/>
          <w:shd w:val="clear" w:color="auto" w:fill="FFFFFF"/>
        </w:rPr>
        <w:t>36.4 (2005): 281-288.</w:t>
      </w:r>
      <w:r w:rsidR="009662A7">
        <w:rPr>
          <w:color w:val="222222"/>
          <w:shd w:val="clear" w:color="auto" w:fill="FFFFFF"/>
        </w:rPr>
        <w:t xml:space="preserve"> Updated May 8, 2015. Accessed May 10, 2017.</w:t>
      </w:r>
    </w:p>
    <w:p w14:paraId="1D732224" w14:textId="20D32AEB" w:rsidR="00572F2F" w:rsidRPr="009E7973" w:rsidRDefault="00572F2F" w:rsidP="008B1425">
      <w:pPr>
        <w:pStyle w:val="ListParagraph"/>
        <w:numPr>
          <w:ilvl w:val="0"/>
          <w:numId w:val="25"/>
        </w:numPr>
        <w:ind w:left="360"/>
      </w:pPr>
      <w:r w:rsidRPr="00572F2F">
        <w:rPr>
          <w:bCs/>
        </w:rPr>
        <w:t>Srinivasan B, Cho ME, Bansai S.  Pathogenesis and treatment of malnutrition in maintenance dialysis.  UpToDate, Waltham, MA. Updated January 12, 2017.</w:t>
      </w:r>
      <w:r w:rsidR="006424E9" w:rsidRPr="006424E9">
        <w:rPr>
          <w:bCs/>
        </w:rPr>
        <w:t xml:space="preserve"> Accessed on </w:t>
      </w:r>
      <w:r w:rsidR="00AC2CC5">
        <w:rPr>
          <w:bCs/>
        </w:rPr>
        <w:t>March 22, 2019.</w:t>
      </w:r>
    </w:p>
    <w:p w14:paraId="1D732225" w14:textId="48555BBA" w:rsidR="00767B5E" w:rsidRPr="009E7973" w:rsidRDefault="008E1326" w:rsidP="001A68FD">
      <w:pPr>
        <w:pStyle w:val="ListParagraph"/>
        <w:numPr>
          <w:ilvl w:val="0"/>
          <w:numId w:val="25"/>
        </w:numPr>
        <w:ind w:left="360"/>
      </w:pPr>
      <w:r>
        <w:t>American Society for Parenteral and Enteral Nutrition (</w:t>
      </w:r>
      <w:hyperlink r:id="rId15" w:tgtFrame="_blank" w:tooltip="A.S.P.E.N. Board of Directors and the Clinical Guidelines Task Force. Guidelines for the use of parenteral and enteral nutrition in adult and pediatric patients" w:history="1">
        <w:r w:rsidR="00767B5E" w:rsidRPr="009E7973">
          <w:rPr>
            <w:rStyle w:val="Hyperlink"/>
            <w:bCs/>
            <w:color w:val="auto"/>
            <w:u w:val="none"/>
            <w:bdr w:val="none" w:sz="0" w:space="0" w:color="auto" w:frame="1"/>
          </w:rPr>
          <w:t>A.S.P.E.N.</w:t>
        </w:r>
        <w:r>
          <w:rPr>
            <w:rStyle w:val="Hyperlink"/>
            <w:bCs/>
            <w:color w:val="auto"/>
            <w:u w:val="none"/>
            <w:bdr w:val="none" w:sz="0" w:space="0" w:color="auto" w:frame="1"/>
          </w:rPr>
          <w:t>)</w:t>
        </w:r>
        <w:r w:rsidR="00767B5E" w:rsidRPr="009E7973">
          <w:rPr>
            <w:rStyle w:val="Hyperlink"/>
            <w:bCs/>
            <w:color w:val="auto"/>
            <w:u w:val="none"/>
            <w:bdr w:val="none" w:sz="0" w:space="0" w:color="auto" w:frame="1"/>
          </w:rPr>
          <w:t xml:space="preserve"> Board of </w:t>
        </w:r>
        <w:r w:rsidR="00767B5E">
          <w:rPr>
            <w:rStyle w:val="Hyperlink"/>
            <w:bCs/>
            <w:color w:val="auto"/>
            <w:u w:val="none"/>
            <w:bdr w:val="none" w:sz="0" w:space="0" w:color="auto" w:frame="1"/>
          </w:rPr>
          <w:t xml:space="preserve">Directors and </w:t>
        </w:r>
        <w:r w:rsidR="00767B5E" w:rsidRPr="009E7973">
          <w:rPr>
            <w:rStyle w:val="Hyperlink"/>
            <w:bCs/>
            <w:color w:val="auto"/>
            <w:u w:val="none"/>
            <w:bdr w:val="none" w:sz="0" w:space="0" w:color="auto" w:frame="1"/>
          </w:rPr>
          <w:t>the Clinical Guidelines Task Force. Guide</w:t>
        </w:r>
        <w:r w:rsidR="00767B5E">
          <w:rPr>
            <w:rStyle w:val="Hyperlink"/>
            <w:bCs/>
            <w:color w:val="auto"/>
            <w:u w:val="none"/>
            <w:bdr w:val="none" w:sz="0" w:space="0" w:color="auto" w:frame="1"/>
          </w:rPr>
          <w:t xml:space="preserve">lines for the use of parenteral </w:t>
        </w:r>
        <w:r w:rsidR="00767B5E" w:rsidRPr="009E7973">
          <w:rPr>
            <w:rStyle w:val="Hyperlink"/>
            <w:bCs/>
            <w:color w:val="auto"/>
            <w:u w:val="none"/>
            <w:bdr w:val="none" w:sz="0" w:space="0" w:color="auto" w:frame="1"/>
          </w:rPr>
          <w:t>and enteral nutrition in adult and pediatric patients</w:t>
        </w:r>
      </w:hyperlink>
      <w:r>
        <w:rPr>
          <w:rStyle w:val="Hyperlink"/>
          <w:bCs/>
          <w:color w:val="auto"/>
          <w:u w:val="none"/>
          <w:bdr w:val="none" w:sz="0" w:space="0" w:color="auto" w:frame="1"/>
        </w:rPr>
        <w:t xml:space="preserve">. </w:t>
      </w:r>
      <w:r w:rsidR="00767B5E" w:rsidRPr="009E7973">
        <w:t>2002 Guidelines.</w:t>
      </w:r>
      <w:r w:rsidR="00767B5E">
        <w:rPr>
          <w:rStyle w:val="apple-converted-space"/>
        </w:rPr>
        <w:t xml:space="preserve"> </w:t>
      </w:r>
      <w:r w:rsidR="00767B5E" w:rsidRPr="00E51BA5">
        <w:rPr>
          <w:rStyle w:val="Emphasis"/>
          <w:i w:val="0"/>
          <w:bdr w:val="none" w:sz="0" w:space="0" w:color="auto" w:frame="1"/>
        </w:rPr>
        <w:t>JPEN J Parenter Enteral Nutr</w:t>
      </w:r>
      <w:r w:rsidR="00767B5E" w:rsidRPr="002945FD">
        <w:rPr>
          <w:i/>
        </w:rPr>
        <w:t>.</w:t>
      </w:r>
      <w:r w:rsidR="00767B5E">
        <w:t xml:space="preserve"> 2002; 26 (1, Suppl.</w:t>
      </w:r>
      <w:r w:rsidR="00767B5E" w:rsidRPr="009E7973">
        <w:t>): 1SA-138SA.</w:t>
      </w:r>
      <w:r>
        <w:t xml:space="preserve"> Updated 2012. </w:t>
      </w:r>
    </w:p>
    <w:p w14:paraId="1D732226" w14:textId="77F7DE25" w:rsidR="00767B5E" w:rsidRPr="002945FD" w:rsidRDefault="00767B5E" w:rsidP="001A68FD">
      <w:pPr>
        <w:pStyle w:val="ListParagraph"/>
        <w:numPr>
          <w:ilvl w:val="0"/>
          <w:numId w:val="25"/>
        </w:numPr>
        <w:ind w:left="360"/>
      </w:pPr>
      <w:r w:rsidRPr="009E7973">
        <w:rPr>
          <w:shd w:val="clear" w:color="auto" w:fill="FFFFFF"/>
        </w:rPr>
        <w:t>Cano N, et al. ESPEN guidelines on enteral nutrition: adult renal failure.</w:t>
      </w:r>
      <w:r w:rsidR="009662A7" w:rsidRPr="009E7973" w:rsidDel="009662A7">
        <w:rPr>
          <w:shd w:val="clear" w:color="auto" w:fill="FFFFFF"/>
        </w:rPr>
        <w:t xml:space="preserve"> </w:t>
      </w:r>
      <w:r w:rsidRPr="00624466">
        <w:rPr>
          <w:iCs/>
          <w:shd w:val="clear" w:color="auto" w:fill="FFFFFF"/>
        </w:rPr>
        <w:t xml:space="preserve">Clinical </w:t>
      </w:r>
      <w:r w:rsidRPr="00624466">
        <w:rPr>
          <w:iCs/>
          <w:color w:val="222222"/>
          <w:shd w:val="clear" w:color="auto" w:fill="FFFFFF"/>
        </w:rPr>
        <w:t>Nutrition</w:t>
      </w:r>
      <w:r>
        <w:rPr>
          <w:i/>
          <w:iCs/>
          <w:color w:val="222222"/>
          <w:shd w:val="clear" w:color="auto" w:fill="FFFFFF"/>
        </w:rPr>
        <w:t xml:space="preserve"> </w:t>
      </w:r>
      <w:r w:rsidRPr="009E7973">
        <w:rPr>
          <w:color w:val="222222"/>
          <w:shd w:val="clear" w:color="auto" w:fill="FFFFFF"/>
        </w:rPr>
        <w:t xml:space="preserve">25.2 (2006): 295-310.  </w:t>
      </w:r>
    </w:p>
    <w:p w14:paraId="1D732228" w14:textId="77777777" w:rsidR="00572F2F" w:rsidRPr="000435FE" w:rsidRDefault="000704E2" w:rsidP="000704E2">
      <w:pPr>
        <w:pStyle w:val="ListParagraph"/>
        <w:numPr>
          <w:ilvl w:val="0"/>
          <w:numId w:val="25"/>
        </w:numPr>
        <w:ind w:left="360"/>
      </w:pPr>
      <w:r w:rsidRPr="000435FE">
        <w:t>American Gastroenterological Association Medical Position Statement: Parenteral Nutrition.</w:t>
      </w:r>
    </w:p>
    <w:p w14:paraId="1D732229" w14:textId="77777777" w:rsidR="003942F0" w:rsidRDefault="000704E2" w:rsidP="003942F0">
      <w:pPr>
        <w:pStyle w:val="ListParagraph"/>
        <w:tabs>
          <w:tab w:val="left" w:pos="360"/>
        </w:tabs>
        <w:ind w:left="360"/>
        <w:rPr>
          <w:lang w:val="en"/>
        </w:rPr>
      </w:pPr>
      <w:r>
        <w:t>May 18, 2001</w:t>
      </w:r>
      <w:r w:rsidRPr="000704E2">
        <w:rPr>
          <w:lang w:val="en"/>
        </w:rPr>
        <w:t>;121(4):966-969.</w:t>
      </w:r>
      <w:r w:rsidR="006424E9">
        <w:rPr>
          <w:lang w:val="en"/>
        </w:rPr>
        <w:t xml:space="preserve"> Accessed Ma</w:t>
      </w:r>
      <w:r w:rsidR="00B92EB1">
        <w:rPr>
          <w:lang w:val="en"/>
        </w:rPr>
        <w:t>rch 23</w:t>
      </w:r>
      <w:r w:rsidR="006424E9">
        <w:rPr>
          <w:lang w:val="en"/>
        </w:rPr>
        <w:t>, 201</w:t>
      </w:r>
      <w:r w:rsidR="00B92EB1">
        <w:rPr>
          <w:lang w:val="en"/>
        </w:rPr>
        <w:t>8</w:t>
      </w:r>
      <w:r w:rsidR="006424E9">
        <w:rPr>
          <w:lang w:val="en"/>
        </w:rPr>
        <w:t>.</w:t>
      </w:r>
    </w:p>
    <w:p w14:paraId="1D73222A" w14:textId="1C08137E" w:rsidR="003942F0" w:rsidRPr="00160399" w:rsidRDefault="003942F0" w:rsidP="002945FD">
      <w:pPr>
        <w:pStyle w:val="ListParagraph"/>
        <w:numPr>
          <w:ilvl w:val="0"/>
          <w:numId w:val="25"/>
        </w:numPr>
        <w:tabs>
          <w:tab w:val="left" w:pos="360"/>
          <w:tab w:val="left" w:pos="900"/>
        </w:tabs>
        <w:ind w:left="360"/>
        <w:rPr>
          <w:lang w:val="en"/>
        </w:rPr>
      </w:pPr>
      <w:r>
        <w:rPr>
          <w:lang w:val="en"/>
        </w:rPr>
        <w:t xml:space="preserve">Hayes. Search &amp; Summary. </w:t>
      </w:r>
      <w:r w:rsidRPr="002945FD">
        <w:rPr>
          <w:bCs/>
        </w:rPr>
        <w:t>Intradialytic Parenteral Nutrition for End-Stage Renal Disease in Adults. January 26, 2017.</w:t>
      </w:r>
      <w:r w:rsidR="006424E9">
        <w:rPr>
          <w:bCs/>
        </w:rPr>
        <w:t xml:space="preserve"> Accessed </w:t>
      </w:r>
      <w:r w:rsidR="00782C3D">
        <w:rPr>
          <w:bCs/>
        </w:rPr>
        <w:t>March 22, 2019</w:t>
      </w:r>
      <w:r w:rsidR="006424E9">
        <w:rPr>
          <w:bCs/>
        </w:rPr>
        <w:t xml:space="preserve">. </w:t>
      </w:r>
      <w:r w:rsidR="0046356E">
        <w:rPr>
          <w:bCs/>
        </w:rPr>
        <w:t>Archived Feb</w:t>
      </w:r>
      <w:r w:rsidR="001E3C47">
        <w:rPr>
          <w:bCs/>
        </w:rPr>
        <w:t xml:space="preserve"> </w:t>
      </w:r>
      <w:r w:rsidR="0046356E">
        <w:rPr>
          <w:bCs/>
        </w:rPr>
        <w:t>26, 2018</w:t>
      </w:r>
      <w:r w:rsidRPr="002945FD">
        <w:rPr>
          <w:bCs/>
        </w:rPr>
        <w:t xml:space="preserve"> </w:t>
      </w:r>
    </w:p>
    <w:p w14:paraId="1D73222B" w14:textId="77777777" w:rsidR="00913B8B" w:rsidRPr="000435FE" w:rsidRDefault="00913B8B" w:rsidP="00160399">
      <w:pPr>
        <w:pStyle w:val="ListParagraph"/>
        <w:numPr>
          <w:ilvl w:val="0"/>
          <w:numId w:val="25"/>
        </w:numPr>
        <w:tabs>
          <w:tab w:val="left" w:pos="360"/>
          <w:tab w:val="left" w:pos="900"/>
        </w:tabs>
        <w:ind w:left="360"/>
        <w:rPr>
          <w:lang w:val="en"/>
        </w:rPr>
      </w:pPr>
      <w:r w:rsidRPr="000435FE">
        <w:rPr>
          <w:lang w:val="en"/>
        </w:rPr>
        <w:t xml:space="preserve">Worthington P, Balint J, Bechtold M, et al.  When Is Parenteral Nutrition Appropriate?  PEN J Parenter Enteral Nutr. 2017 Mar;41(3):324-377. doi: 10.1177/0148607117695251. Epub 2017 Feb 1.  </w:t>
      </w:r>
      <w:r w:rsidR="00222BED" w:rsidRPr="000435FE">
        <w:rPr>
          <w:lang w:val="en"/>
        </w:rPr>
        <w:t>Accessed March 28,</w:t>
      </w:r>
      <w:r w:rsidR="00FF2A63" w:rsidRPr="000435FE">
        <w:rPr>
          <w:lang w:val="en"/>
        </w:rPr>
        <w:t xml:space="preserve"> </w:t>
      </w:r>
      <w:r w:rsidR="00222BED" w:rsidRPr="000435FE">
        <w:rPr>
          <w:lang w:val="en"/>
        </w:rPr>
        <w:t>2</w:t>
      </w:r>
      <w:r w:rsidR="007200CD" w:rsidRPr="000435FE">
        <w:rPr>
          <w:lang w:val="en"/>
        </w:rPr>
        <w:t>018</w:t>
      </w:r>
    </w:p>
    <w:p w14:paraId="1D73222C" w14:textId="77777777" w:rsidR="00E02A4D" w:rsidRPr="00160399" w:rsidRDefault="00E02A4D" w:rsidP="00160399">
      <w:pPr>
        <w:pStyle w:val="ListParagraph"/>
        <w:numPr>
          <w:ilvl w:val="0"/>
          <w:numId w:val="25"/>
        </w:numPr>
        <w:tabs>
          <w:tab w:val="left" w:pos="360"/>
          <w:tab w:val="left" w:pos="900"/>
        </w:tabs>
        <w:ind w:left="360"/>
        <w:rPr>
          <w:lang w:val="en"/>
        </w:rPr>
      </w:pPr>
      <w:r w:rsidRPr="00E02A4D">
        <w:rPr>
          <w:lang w:val="en"/>
        </w:rPr>
        <w:t xml:space="preserve">McClave SA.  DiBiase JK, Mullin GE, Martindale  RG.  ACG Clinical Guideline: Nutrition Therapy in the Adult Hospitalized Patient. Am J Gastroenterol. 2016 Mar;111(3):315-34; quiz 335. doi: 10.1038/ajg.2016.28. Epub 2016 Mar 8.  Accessed March 28, 2018. </w:t>
      </w:r>
    </w:p>
    <w:p w14:paraId="1D73222D" w14:textId="77777777" w:rsidR="003942F0" w:rsidRDefault="003942F0" w:rsidP="00146C6E">
      <w:pPr>
        <w:rPr>
          <w:b/>
          <w:bCs/>
          <w:u w:val="single"/>
        </w:rPr>
      </w:pPr>
      <w:bookmarkStart w:id="3" w:name="Important_Reminder"/>
    </w:p>
    <w:p w14:paraId="1D73222E" w14:textId="77777777" w:rsidR="00767B5E" w:rsidRPr="00146C6E" w:rsidRDefault="00767B5E" w:rsidP="00146C6E">
      <w:pPr>
        <w:rPr>
          <w:b/>
          <w:u w:val="single"/>
        </w:rPr>
      </w:pPr>
      <w:r w:rsidRPr="00146C6E">
        <w:rPr>
          <w:b/>
          <w:bCs/>
          <w:u w:val="single"/>
        </w:rPr>
        <w:t>Important Reminder</w:t>
      </w:r>
      <w:bookmarkEnd w:id="3"/>
    </w:p>
    <w:p w14:paraId="1D73222F" w14:textId="77777777" w:rsidR="00767B5E" w:rsidRPr="00146C6E" w:rsidRDefault="00767B5E"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D732230" w14:textId="77777777" w:rsidR="00767B5E" w:rsidRPr="00146C6E" w:rsidRDefault="00767B5E" w:rsidP="00146C6E"/>
    <w:p w14:paraId="1D732231" w14:textId="77777777" w:rsidR="00767B5E" w:rsidRPr="00146C6E" w:rsidRDefault="00767B5E"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D732232" w14:textId="77777777" w:rsidR="00767B5E" w:rsidRPr="00146C6E" w:rsidRDefault="00767B5E" w:rsidP="00146C6E"/>
    <w:p w14:paraId="1D732233" w14:textId="77777777" w:rsidR="00767B5E" w:rsidRPr="00146C6E" w:rsidRDefault="00767B5E"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D732234" w14:textId="77777777" w:rsidR="00767B5E" w:rsidRPr="00146C6E" w:rsidRDefault="00767B5E" w:rsidP="00146C6E"/>
    <w:p w14:paraId="1D732235" w14:textId="77777777" w:rsidR="00767B5E" w:rsidRPr="00146C6E" w:rsidRDefault="00767B5E"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D732236" w14:textId="77777777" w:rsidR="00767B5E" w:rsidRPr="00146C6E" w:rsidRDefault="00767B5E" w:rsidP="00146C6E"/>
    <w:p w14:paraId="1D732237" w14:textId="77777777" w:rsidR="00767B5E" w:rsidRPr="00146C6E" w:rsidRDefault="00767B5E"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1D732238" w14:textId="77777777" w:rsidR="00767B5E" w:rsidRPr="00146C6E" w:rsidRDefault="00767B5E" w:rsidP="00146C6E"/>
    <w:p w14:paraId="1D732239" w14:textId="77777777" w:rsidR="00767B5E" w:rsidRPr="00146C6E" w:rsidRDefault="00767B5E"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D73223A" w14:textId="77777777" w:rsidR="00767B5E" w:rsidRPr="00146C6E" w:rsidRDefault="00767B5E" w:rsidP="00146C6E">
      <w:pPr>
        <w:autoSpaceDE w:val="0"/>
        <w:autoSpaceDN w:val="0"/>
        <w:adjustRightInd w:val="0"/>
        <w:rPr>
          <w:color w:val="000000"/>
        </w:rPr>
      </w:pPr>
    </w:p>
    <w:p w14:paraId="1D73223B" w14:textId="77777777" w:rsidR="00767B5E" w:rsidRPr="00146C6E" w:rsidRDefault="00767B5E"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D73223C" w14:textId="77777777" w:rsidR="00767B5E" w:rsidRPr="00146C6E" w:rsidRDefault="00767B5E" w:rsidP="00146C6E"/>
    <w:p w14:paraId="1D73223D" w14:textId="77777777" w:rsidR="00767B5E" w:rsidRPr="00146C6E" w:rsidRDefault="00767B5E"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sidR="00955BDD">
        <w:rPr>
          <w:color w:val="000000"/>
        </w:rPr>
        <w:t>,</w:t>
      </w:r>
      <w:r w:rsidRPr="00146C6E">
        <w:rPr>
          <w:color w:val="000000"/>
        </w:rPr>
        <w:t xml:space="preserve"> LCDs</w:t>
      </w:r>
      <w:r w:rsidR="00955BDD">
        <w:rPr>
          <w:color w:val="000000"/>
        </w:rPr>
        <w:t>,</w:t>
      </w:r>
      <w:r w:rsidR="00B408E1">
        <w:rPr>
          <w:color w:val="000000"/>
        </w:rPr>
        <w:t xml:space="preserve"> and Medicare Coverage Articles</w:t>
      </w:r>
      <w:r w:rsidRPr="00146C6E">
        <w:rPr>
          <w:color w:val="000000"/>
        </w:rPr>
        <w:t xml:space="preserve"> should be reviewed </w:t>
      </w:r>
      <w:r w:rsidRPr="00146C6E">
        <w:rPr>
          <w:color w:val="000000"/>
          <w:u w:val="single"/>
        </w:rPr>
        <w:t>prior to</w:t>
      </w:r>
      <w:r w:rsidRPr="00146C6E">
        <w:rPr>
          <w:color w:val="000000"/>
        </w:rPr>
        <w:t xml:space="preserve"> applying the criteria set forth in this clinical policy. Refer to the CMS website at for additional information. </w:t>
      </w:r>
    </w:p>
    <w:p w14:paraId="1D73223E" w14:textId="77777777" w:rsidR="00767B5E" w:rsidRPr="00146C6E" w:rsidRDefault="00767B5E" w:rsidP="00146C6E">
      <w:pPr>
        <w:rPr>
          <w:iCs/>
        </w:rPr>
      </w:pPr>
    </w:p>
    <w:p w14:paraId="1D73223F" w14:textId="77777777" w:rsidR="00767B5E" w:rsidRPr="00146C6E" w:rsidRDefault="00767B5E" w:rsidP="00146C6E">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1D732240" w14:textId="77777777" w:rsidR="00767B5E" w:rsidRDefault="00767B5E" w:rsidP="00AF5490"/>
    <w:sectPr w:rsidR="00767B5E"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2243" w14:textId="77777777" w:rsidR="00C20F0B" w:rsidRDefault="00C20F0B">
      <w:r>
        <w:separator/>
      </w:r>
    </w:p>
  </w:endnote>
  <w:endnote w:type="continuationSeparator" w:id="0">
    <w:p w14:paraId="1D732244" w14:textId="77777777" w:rsidR="00C20F0B" w:rsidRDefault="00C2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2247" w14:textId="6B9E5619" w:rsidR="00767B5E" w:rsidRPr="00D574CA" w:rsidRDefault="00767B5E" w:rsidP="00D574CA">
    <w:pPr>
      <w:pStyle w:val="Footer"/>
      <w:jc w:val="center"/>
    </w:pPr>
    <w:r>
      <w:t xml:space="preserve">Page </w:t>
    </w:r>
    <w:r>
      <w:rPr>
        <w:b/>
        <w:bCs/>
      </w:rPr>
      <w:fldChar w:fldCharType="begin"/>
    </w:r>
    <w:r>
      <w:rPr>
        <w:b/>
        <w:bCs/>
      </w:rPr>
      <w:instrText xml:space="preserve"> PAGE </w:instrText>
    </w:r>
    <w:r>
      <w:rPr>
        <w:b/>
        <w:bCs/>
      </w:rPr>
      <w:fldChar w:fldCharType="separate"/>
    </w:r>
    <w:r w:rsidR="00F7766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7766A">
      <w:rPr>
        <w:b/>
        <w:bCs/>
        <w:noProof/>
      </w:rPr>
      <w:t>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2249" w14:textId="6AB0EA7B" w:rsidR="00767B5E" w:rsidRDefault="00767B5E" w:rsidP="002C6AAB">
    <w:pPr>
      <w:pStyle w:val="Footer"/>
      <w:jc w:val="center"/>
    </w:pPr>
    <w:r>
      <w:t xml:space="preserve">Page </w:t>
    </w:r>
    <w:r w:rsidR="0029622E">
      <w:fldChar w:fldCharType="begin"/>
    </w:r>
    <w:r w:rsidR="0029622E">
      <w:instrText xml:space="preserve"> PAGE   \* MERGEFORMAT </w:instrText>
    </w:r>
    <w:r w:rsidR="0029622E">
      <w:fldChar w:fldCharType="separate"/>
    </w:r>
    <w:r w:rsidR="00F7766A">
      <w:rPr>
        <w:noProof/>
      </w:rPr>
      <w:t>1</w:t>
    </w:r>
    <w:r w:rsidR="0029622E">
      <w:rPr>
        <w:noProof/>
      </w:rPr>
      <w:fldChar w:fldCharType="end"/>
    </w:r>
    <w:r>
      <w:t xml:space="preserve"> of </w:t>
    </w:r>
    <w:r w:rsidR="00ED18C0">
      <w:rPr>
        <w:noProof/>
      </w:rPr>
      <w:fldChar w:fldCharType="begin"/>
    </w:r>
    <w:r w:rsidR="00ED18C0">
      <w:rPr>
        <w:noProof/>
      </w:rPr>
      <w:instrText xml:space="preserve"> NUMPAGES   \* MERGEFORMAT </w:instrText>
    </w:r>
    <w:r w:rsidR="00ED18C0">
      <w:rPr>
        <w:noProof/>
      </w:rPr>
      <w:fldChar w:fldCharType="separate"/>
    </w:r>
    <w:r w:rsidR="00F7766A">
      <w:rPr>
        <w:noProof/>
      </w:rPr>
      <w:t>7</w:t>
    </w:r>
    <w:r w:rsidR="00ED18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32241" w14:textId="77777777" w:rsidR="00C20F0B" w:rsidRDefault="00C20F0B">
      <w:r>
        <w:separator/>
      </w:r>
    </w:p>
  </w:footnote>
  <w:footnote w:type="continuationSeparator" w:id="0">
    <w:p w14:paraId="1D732242" w14:textId="77777777" w:rsidR="00C20F0B" w:rsidRDefault="00C20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2245" w14:textId="77777777" w:rsidR="00767B5E" w:rsidRPr="00B777AF" w:rsidRDefault="00767B5E"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29622E">
      <w:rPr>
        <w:noProof/>
        <w:color w:val="00548C"/>
      </w:rPr>
      <w:drawing>
        <wp:inline distT="0" distB="0" distL="0" distR="0" wp14:anchorId="1D73224A" wp14:editId="1D73224B">
          <wp:extent cx="904240" cy="238760"/>
          <wp:effectExtent l="0" t="0" r="0" b="8890"/>
          <wp:docPr id="1"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238760"/>
                  </a:xfrm>
                  <a:prstGeom prst="rect">
                    <a:avLst/>
                  </a:prstGeom>
                  <a:noFill/>
                  <a:ln>
                    <a:noFill/>
                  </a:ln>
                </pic:spPr>
              </pic:pic>
            </a:graphicData>
          </a:graphic>
        </wp:inline>
      </w:drawing>
    </w:r>
  </w:p>
  <w:p w14:paraId="1D732246" w14:textId="77777777" w:rsidR="00767B5E" w:rsidRPr="00B777AF" w:rsidRDefault="00767B5E" w:rsidP="00B777AF">
    <w:pPr>
      <w:rPr>
        <w:color w:val="00548C"/>
      </w:rPr>
    </w:pPr>
    <w:r>
      <w:rPr>
        <w:rFonts w:ascii="Times New Roman Bold" w:hAnsi="Times New Roman Bold"/>
        <w:b/>
        <w:bCs/>
        <w:color w:val="00548C"/>
      </w:rPr>
      <w:t>Total Parenteral Nutrition and Intradialytic Parenteral Nutrition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2248" w14:textId="77777777" w:rsidR="00767B5E" w:rsidRDefault="0029622E" w:rsidP="00B777AF">
    <w:pPr>
      <w:pStyle w:val="Header"/>
      <w:jc w:val="right"/>
    </w:pPr>
    <w:r>
      <w:rPr>
        <w:noProof/>
      </w:rPr>
      <w:drawing>
        <wp:inline distT="0" distB="0" distL="0" distR="0" wp14:anchorId="1D73224C" wp14:editId="1D73224D">
          <wp:extent cx="1361440" cy="337820"/>
          <wp:effectExtent l="0" t="0" r="0" b="5080"/>
          <wp:docPr id="2" name="Picture 6"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337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DC"/>
    <w:multiLevelType w:val="hybridMultilevel"/>
    <w:tmpl w:val="75304B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716D"/>
    <w:multiLevelType w:val="hybridMultilevel"/>
    <w:tmpl w:val="5546B4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72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CF4E3F8">
      <w:start w:val="1"/>
      <w:numFmt w:val="upperRoman"/>
      <w:lvlText w:val="%6."/>
      <w:lvlJc w:val="left"/>
      <w:pPr>
        <w:ind w:left="4860" w:hanging="72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B6A6D6B"/>
    <w:multiLevelType w:val="hybridMultilevel"/>
    <w:tmpl w:val="DC460ADE"/>
    <w:lvl w:ilvl="0" w:tplc="7B0E50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02525"/>
    <w:multiLevelType w:val="hybridMultilevel"/>
    <w:tmpl w:val="8CCE3B16"/>
    <w:lvl w:ilvl="0" w:tplc="04090019">
      <w:start w:val="1"/>
      <w:numFmt w:val="lowerLetter"/>
      <w:lvlText w:val="%1."/>
      <w:lvlJc w:val="left"/>
      <w:pPr>
        <w:ind w:left="2070" w:hanging="360"/>
      </w:pPr>
      <w:rPr>
        <w:rFonts w:cs="Times New Roman"/>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7" w15:restartNumberingAfterBreak="0">
    <w:nsid w:val="4EEC0976"/>
    <w:multiLevelType w:val="hybridMultilevel"/>
    <w:tmpl w:val="69A430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02C57"/>
    <w:multiLevelType w:val="hybridMultilevel"/>
    <w:tmpl w:val="5110359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6FCD530D"/>
    <w:multiLevelType w:val="hybridMultilevel"/>
    <w:tmpl w:val="9E06FA1A"/>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71FB7789"/>
    <w:multiLevelType w:val="hybridMultilevel"/>
    <w:tmpl w:val="3EBE4A0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D1E3D0A"/>
    <w:multiLevelType w:val="hybridMultilevel"/>
    <w:tmpl w:val="861A07CA"/>
    <w:lvl w:ilvl="0" w:tplc="6BAC0802">
      <w:start w:val="1"/>
      <w:numFmt w:val="upperRoman"/>
      <w:lvlText w:val="%1."/>
      <w:lvlJc w:val="left"/>
      <w:pPr>
        <w:ind w:left="360" w:hanging="360"/>
      </w:pPr>
      <w:rPr>
        <w:rFonts w:cs="Times New Roman" w:hint="default"/>
        <w:b/>
        <w:i w:val="0"/>
      </w:rPr>
    </w:lvl>
    <w:lvl w:ilvl="1" w:tplc="04090015">
      <w:start w:val="1"/>
      <w:numFmt w:val="upperLetter"/>
      <w:lvlText w:val="%2."/>
      <w:lvlJc w:val="left"/>
      <w:pPr>
        <w:ind w:left="1080" w:hanging="360"/>
      </w:pPr>
      <w:rPr>
        <w:rFonts w:cs="Times New Roman"/>
      </w:rPr>
    </w:lvl>
    <w:lvl w:ilvl="2" w:tplc="0409000F">
      <w:start w:val="1"/>
      <w:numFmt w:val="decimal"/>
      <w:lvlText w:val="%3."/>
      <w:lvlJc w:val="left"/>
      <w:pPr>
        <w:ind w:left="1980" w:hanging="180"/>
      </w:pPr>
      <w:rPr>
        <w:rFonts w:cs="Times New Roman"/>
      </w:rPr>
    </w:lvl>
    <w:lvl w:ilvl="3" w:tplc="04090019">
      <w:start w:val="1"/>
      <w:numFmt w:val="lowerLetter"/>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153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8"/>
  </w:num>
  <w:num w:numId="4">
    <w:abstractNumId w:val="11"/>
  </w:num>
  <w:num w:numId="5">
    <w:abstractNumId w:val="12"/>
  </w:num>
  <w:num w:numId="6">
    <w:abstractNumId w:val="20"/>
  </w:num>
  <w:num w:numId="7">
    <w:abstractNumId w:val="22"/>
  </w:num>
  <w:num w:numId="8">
    <w:abstractNumId w:val="2"/>
  </w:num>
  <w:num w:numId="9">
    <w:abstractNumId w:val="18"/>
  </w:num>
  <w:num w:numId="10">
    <w:abstractNumId w:val="6"/>
  </w:num>
  <w:num w:numId="11">
    <w:abstractNumId w:val="26"/>
  </w:num>
  <w:num w:numId="12">
    <w:abstractNumId w:val="10"/>
  </w:num>
  <w:num w:numId="13">
    <w:abstractNumId w:val="9"/>
  </w:num>
  <w:num w:numId="14">
    <w:abstractNumId w:val="4"/>
  </w:num>
  <w:num w:numId="15">
    <w:abstractNumId w:val="7"/>
  </w:num>
  <w:num w:numId="16">
    <w:abstractNumId w:val="23"/>
  </w:num>
  <w:num w:numId="17">
    <w:abstractNumId w:val="19"/>
  </w:num>
  <w:num w:numId="18">
    <w:abstractNumId w:val="13"/>
  </w:num>
  <w:num w:numId="19">
    <w:abstractNumId w:val="5"/>
  </w:num>
  <w:num w:numId="20">
    <w:abstractNumId w:val="3"/>
  </w:num>
  <w:num w:numId="21">
    <w:abstractNumId w:val="14"/>
  </w:num>
  <w:num w:numId="22">
    <w:abstractNumId w:val="17"/>
  </w:num>
  <w:num w:numId="23">
    <w:abstractNumId w:val="0"/>
  </w:num>
  <w:num w:numId="24">
    <w:abstractNumId w:val="25"/>
  </w:num>
  <w:num w:numId="25">
    <w:abstractNumId w:val="21"/>
  </w:num>
  <w:num w:numId="26">
    <w:abstractNumId w:val="16"/>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4B0A"/>
    <w:rsid w:val="000148EE"/>
    <w:rsid w:val="00015CBA"/>
    <w:rsid w:val="00020976"/>
    <w:rsid w:val="00020D09"/>
    <w:rsid w:val="00026F7A"/>
    <w:rsid w:val="00032D3F"/>
    <w:rsid w:val="00035DF8"/>
    <w:rsid w:val="000435FE"/>
    <w:rsid w:val="00044559"/>
    <w:rsid w:val="000465DE"/>
    <w:rsid w:val="0004733E"/>
    <w:rsid w:val="00060509"/>
    <w:rsid w:val="0006518F"/>
    <w:rsid w:val="000704E2"/>
    <w:rsid w:val="00081440"/>
    <w:rsid w:val="00083740"/>
    <w:rsid w:val="00094136"/>
    <w:rsid w:val="000A11D5"/>
    <w:rsid w:val="000D0D65"/>
    <w:rsid w:val="000D1DC6"/>
    <w:rsid w:val="000D259E"/>
    <w:rsid w:val="000D7CCE"/>
    <w:rsid w:val="000E0D06"/>
    <w:rsid w:val="000E28F8"/>
    <w:rsid w:val="000F10C2"/>
    <w:rsid w:val="000F2568"/>
    <w:rsid w:val="00106BC2"/>
    <w:rsid w:val="00112661"/>
    <w:rsid w:val="001128D3"/>
    <w:rsid w:val="00113DC1"/>
    <w:rsid w:val="001148A8"/>
    <w:rsid w:val="0013755A"/>
    <w:rsid w:val="0014316D"/>
    <w:rsid w:val="00146C6E"/>
    <w:rsid w:val="001531AB"/>
    <w:rsid w:val="00153A00"/>
    <w:rsid w:val="00160399"/>
    <w:rsid w:val="00170B14"/>
    <w:rsid w:val="00171A18"/>
    <w:rsid w:val="001818D7"/>
    <w:rsid w:val="00185104"/>
    <w:rsid w:val="00196012"/>
    <w:rsid w:val="001962BE"/>
    <w:rsid w:val="00196689"/>
    <w:rsid w:val="00196935"/>
    <w:rsid w:val="0019746F"/>
    <w:rsid w:val="001A0E92"/>
    <w:rsid w:val="001A3020"/>
    <w:rsid w:val="001A68FD"/>
    <w:rsid w:val="001B74D5"/>
    <w:rsid w:val="001C2759"/>
    <w:rsid w:val="001C568B"/>
    <w:rsid w:val="001D0D34"/>
    <w:rsid w:val="001D6571"/>
    <w:rsid w:val="001D70D4"/>
    <w:rsid w:val="001E3C47"/>
    <w:rsid w:val="001E5BEA"/>
    <w:rsid w:val="001E7D12"/>
    <w:rsid w:val="0020675F"/>
    <w:rsid w:val="00220736"/>
    <w:rsid w:val="00222BED"/>
    <w:rsid w:val="00226440"/>
    <w:rsid w:val="00230FE4"/>
    <w:rsid w:val="00233651"/>
    <w:rsid w:val="002512A7"/>
    <w:rsid w:val="00253862"/>
    <w:rsid w:val="00254020"/>
    <w:rsid w:val="0025452A"/>
    <w:rsid w:val="00257856"/>
    <w:rsid w:val="00277D49"/>
    <w:rsid w:val="002831CC"/>
    <w:rsid w:val="00285864"/>
    <w:rsid w:val="00285997"/>
    <w:rsid w:val="00290189"/>
    <w:rsid w:val="00290FF8"/>
    <w:rsid w:val="002945FD"/>
    <w:rsid w:val="0029622E"/>
    <w:rsid w:val="00296ACA"/>
    <w:rsid w:val="002A234E"/>
    <w:rsid w:val="002A39EE"/>
    <w:rsid w:val="002B0582"/>
    <w:rsid w:val="002B4D72"/>
    <w:rsid w:val="002C6AAB"/>
    <w:rsid w:val="002D019A"/>
    <w:rsid w:val="002E48E7"/>
    <w:rsid w:val="002F24BA"/>
    <w:rsid w:val="002F5907"/>
    <w:rsid w:val="002F595D"/>
    <w:rsid w:val="00305DE8"/>
    <w:rsid w:val="00310CEC"/>
    <w:rsid w:val="003140D6"/>
    <w:rsid w:val="003276C4"/>
    <w:rsid w:val="00334668"/>
    <w:rsid w:val="00336856"/>
    <w:rsid w:val="00336E37"/>
    <w:rsid w:val="00344662"/>
    <w:rsid w:val="00350F22"/>
    <w:rsid w:val="0035537B"/>
    <w:rsid w:val="00356DEA"/>
    <w:rsid w:val="00381848"/>
    <w:rsid w:val="003819AA"/>
    <w:rsid w:val="00382BD0"/>
    <w:rsid w:val="003840CC"/>
    <w:rsid w:val="00385C28"/>
    <w:rsid w:val="00390753"/>
    <w:rsid w:val="003942F0"/>
    <w:rsid w:val="003A039A"/>
    <w:rsid w:val="003A429E"/>
    <w:rsid w:val="003B4306"/>
    <w:rsid w:val="003C7559"/>
    <w:rsid w:val="003D06EB"/>
    <w:rsid w:val="003D12A4"/>
    <w:rsid w:val="003D7BE7"/>
    <w:rsid w:val="003F3D44"/>
    <w:rsid w:val="00445FD8"/>
    <w:rsid w:val="004518BF"/>
    <w:rsid w:val="0045488E"/>
    <w:rsid w:val="0046356E"/>
    <w:rsid w:val="00472C6C"/>
    <w:rsid w:val="00480C09"/>
    <w:rsid w:val="004907F2"/>
    <w:rsid w:val="00492FBA"/>
    <w:rsid w:val="004930C0"/>
    <w:rsid w:val="00493710"/>
    <w:rsid w:val="00496BCF"/>
    <w:rsid w:val="00497AED"/>
    <w:rsid w:val="004A2402"/>
    <w:rsid w:val="004E096A"/>
    <w:rsid w:val="004E0B99"/>
    <w:rsid w:val="004E26F5"/>
    <w:rsid w:val="004F11D7"/>
    <w:rsid w:val="004F255F"/>
    <w:rsid w:val="004F6394"/>
    <w:rsid w:val="00504BD6"/>
    <w:rsid w:val="005053A3"/>
    <w:rsid w:val="00505830"/>
    <w:rsid w:val="00507DC0"/>
    <w:rsid w:val="00507DD1"/>
    <w:rsid w:val="005103B8"/>
    <w:rsid w:val="005144C0"/>
    <w:rsid w:val="005226ED"/>
    <w:rsid w:val="005423D4"/>
    <w:rsid w:val="0054306C"/>
    <w:rsid w:val="005537B0"/>
    <w:rsid w:val="00556CBA"/>
    <w:rsid w:val="00563362"/>
    <w:rsid w:val="00571552"/>
    <w:rsid w:val="00572F2F"/>
    <w:rsid w:val="005776FD"/>
    <w:rsid w:val="00583376"/>
    <w:rsid w:val="00583F12"/>
    <w:rsid w:val="00592EBB"/>
    <w:rsid w:val="00594F4C"/>
    <w:rsid w:val="005A523D"/>
    <w:rsid w:val="005C17DF"/>
    <w:rsid w:val="005C3607"/>
    <w:rsid w:val="005D009F"/>
    <w:rsid w:val="005D5146"/>
    <w:rsid w:val="005D6347"/>
    <w:rsid w:val="005D7B81"/>
    <w:rsid w:val="005E117C"/>
    <w:rsid w:val="005E411E"/>
    <w:rsid w:val="005F2DE5"/>
    <w:rsid w:val="005F5C5F"/>
    <w:rsid w:val="00600C92"/>
    <w:rsid w:val="00601671"/>
    <w:rsid w:val="00601843"/>
    <w:rsid w:val="00603854"/>
    <w:rsid w:val="00606090"/>
    <w:rsid w:val="00623839"/>
    <w:rsid w:val="00624466"/>
    <w:rsid w:val="00632FF0"/>
    <w:rsid w:val="006424E9"/>
    <w:rsid w:val="006431F3"/>
    <w:rsid w:val="006474BB"/>
    <w:rsid w:val="00652BA4"/>
    <w:rsid w:val="006664E9"/>
    <w:rsid w:val="006A5D46"/>
    <w:rsid w:val="006B0FE3"/>
    <w:rsid w:val="006C46A0"/>
    <w:rsid w:val="006C67DE"/>
    <w:rsid w:val="006C74DF"/>
    <w:rsid w:val="006E54AF"/>
    <w:rsid w:val="006F0179"/>
    <w:rsid w:val="006F1369"/>
    <w:rsid w:val="006F4D70"/>
    <w:rsid w:val="006F69F7"/>
    <w:rsid w:val="007200CD"/>
    <w:rsid w:val="007257E2"/>
    <w:rsid w:val="0072707F"/>
    <w:rsid w:val="00731AC2"/>
    <w:rsid w:val="00741FBB"/>
    <w:rsid w:val="00744250"/>
    <w:rsid w:val="007531A2"/>
    <w:rsid w:val="007559AF"/>
    <w:rsid w:val="007614AF"/>
    <w:rsid w:val="0076647D"/>
    <w:rsid w:val="00767B5E"/>
    <w:rsid w:val="007764CE"/>
    <w:rsid w:val="00781BE8"/>
    <w:rsid w:val="00782C3D"/>
    <w:rsid w:val="007921E3"/>
    <w:rsid w:val="007A0BCC"/>
    <w:rsid w:val="007A2B85"/>
    <w:rsid w:val="007B07AE"/>
    <w:rsid w:val="007B345A"/>
    <w:rsid w:val="007B50D0"/>
    <w:rsid w:val="007B7F0E"/>
    <w:rsid w:val="007C4725"/>
    <w:rsid w:val="007C7B2B"/>
    <w:rsid w:val="007D4801"/>
    <w:rsid w:val="007F1F19"/>
    <w:rsid w:val="007F3AF0"/>
    <w:rsid w:val="007F43E6"/>
    <w:rsid w:val="0080200D"/>
    <w:rsid w:val="00802A29"/>
    <w:rsid w:val="008036BB"/>
    <w:rsid w:val="008504FC"/>
    <w:rsid w:val="00855AC2"/>
    <w:rsid w:val="00857C10"/>
    <w:rsid w:val="00870D03"/>
    <w:rsid w:val="00875924"/>
    <w:rsid w:val="00877EC7"/>
    <w:rsid w:val="00880D13"/>
    <w:rsid w:val="00896E94"/>
    <w:rsid w:val="00897394"/>
    <w:rsid w:val="008A5F8A"/>
    <w:rsid w:val="008B0705"/>
    <w:rsid w:val="008B0ECF"/>
    <w:rsid w:val="008B1425"/>
    <w:rsid w:val="008B5361"/>
    <w:rsid w:val="008C6B3A"/>
    <w:rsid w:val="008E1326"/>
    <w:rsid w:val="008E1367"/>
    <w:rsid w:val="008E6AD9"/>
    <w:rsid w:val="00902C9B"/>
    <w:rsid w:val="0091135C"/>
    <w:rsid w:val="009135E0"/>
    <w:rsid w:val="00913B8B"/>
    <w:rsid w:val="00915CA4"/>
    <w:rsid w:val="00940C07"/>
    <w:rsid w:val="00950820"/>
    <w:rsid w:val="009541F8"/>
    <w:rsid w:val="00955BDD"/>
    <w:rsid w:val="00956F4E"/>
    <w:rsid w:val="00961071"/>
    <w:rsid w:val="00963062"/>
    <w:rsid w:val="00963626"/>
    <w:rsid w:val="00964F1B"/>
    <w:rsid w:val="009662A7"/>
    <w:rsid w:val="009735FA"/>
    <w:rsid w:val="0097672A"/>
    <w:rsid w:val="00977ECA"/>
    <w:rsid w:val="00982180"/>
    <w:rsid w:val="009823C6"/>
    <w:rsid w:val="009855B3"/>
    <w:rsid w:val="009928B2"/>
    <w:rsid w:val="009972BC"/>
    <w:rsid w:val="009C4435"/>
    <w:rsid w:val="009C61B2"/>
    <w:rsid w:val="009D1A05"/>
    <w:rsid w:val="009D5928"/>
    <w:rsid w:val="009D5A98"/>
    <w:rsid w:val="009E663E"/>
    <w:rsid w:val="009E6DF2"/>
    <w:rsid w:val="009E6F29"/>
    <w:rsid w:val="009E7973"/>
    <w:rsid w:val="009F02A9"/>
    <w:rsid w:val="009F7AFB"/>
    <w:rsid w:val="00A044E3"/>
    <w:rsid w:val="00A04FA3"/>
    <w:rsid w:val="00A17537"/>
    <w:rsid w:val="00A20F73"/>
    <w:rsid w:val="00A351ED"/>
    <w:rsid w:val="00A41969"/>
    <w:rsid w:val="00A43867"/>
    <w:rsid w:val="00A500AE"/>
    <w:rsid w:val="00A54B7A"/>
    <w:rsid w:val="00A60413"/>
    <w:rsid w:val="00A606F4"/>
    <w:rsid w:val="00A83658"/>
    <w:rsid w:val="00A85489"/>
    <w:rsid w:val="00A87B1F"/>
    <w:rsid w:val="00A95080"/>
    <w:rsid w:val="00AA336E"/>
    <w:rsid w:val="00AA428E"/>
    <w:rsid w:val="00AB10DA"/>
    <w:rsid w:val="00AC2CC5"/>
    <w:rsid w:val="00AD1AA6"/>
    <w:rsid w:val="00AD3697"/>
    <w:rsid w:val="00AD7308"/>
    <w:rsid w:val="00AD73C5"/>
    <w:rsid w:val="00AD7472"/>
    <w:rsid w:val="00AD7D71"/>
    <w:rsid w:val="00AD7FF5"/>
    <w:rsid w:val="00AF1F2A"/>
    <w:rsid w:val="00AF30EF"/>
    <w:rsid w:val="00AF41BB"/>
    <w:rsid w:val="00AF5490"/>
    <w:rsid w:val="00B056D0"/>
    <w:rsid w:val="00B06C58"/>
    <w:rsid w:val="00B136B3"/>
    <w:rsid w:val="00B155A7"/>
    <w:rsid w:val="00B17FD9"/>
    <w:rsid w:val="00B32B58"/>
    <w:rsid w:val="00B35191"/>
    <w:rsid w:val="00B408E1"/>
    <w:rsid w:val="00B4633B"/>
    <w:rsid w:val="00B777AF"/>
    <w:rsid w:val="00B81789"/>
    <w:rsid w:val="00B92DF1"/>
    <w:rsid w:val="00B92EB1"/>
    <w:rsid w:val="00BA5466"/>
    <w:rsid w:val="00BA5A20"/>
    <w:rsid w:val="00BC1F7C"/>
    <w:rsid w:val="00BD2B6A"/>
    <w:rsid w:val="00BD7BDD"/>
    <w:rsid w:val="00BD7E49"/>
    <w:rsid w:val="00BE0ED6"/>
    <w:rsid w:val="00BF4150"/>
    <w:rsid w:val="00BF4DE7"/>
    <w:rsid w:val="00C01AA6"/>
    <w:rsid w:val="00C06257"/>
    <w:rsid w:val="00C0661D"/>
    <w:rsid w:val="00C079B0"/>
    <w:rsid w:val="00C10222"/>
    <w:rsid w:val="00C11A51"/>
    <w:rsid w:val="00C14250"/>
    <w:rsid w:val="00C20F0B"/>
    <w:rsid w:val="00C2297C"/>
    <w:rsid w:val="00C34554"/>
    <w:rsid w:val="00C360AE"/>
    <w:rsid w:val="00C559B0"/>
    <w:rsid w:val="00C64BB4"/>
    <w:rsid w:val="00C73CF5"/>
    <w:rsid w:val="00C745CF"/>
    <w:rsid w:val="00C74E24"/>
    <w:rsid w:val="00C75BD4"/>
    <w:rsid w:val="00C7661D"/>
    <w:rsid w:val="00C85512"/>
    <w:rsid w:val="00C96847"/>
    <w:rsid w:val="00CA53B9"/>
    <w:rsid w:val="00CA5C08"/>
    <w:rsid w:val="00CA60B5"/>
    <w:rsid w:val="00CF2624"/>
    <w:rsid w:val="00CF3836"/>
    <w:rsid w:val="00D05477"/>
    <w:rsid w:val="00D06533"/>
    <w:rsid w:val="00D24B69"/>
    <w:rsid w:val="00D36448"/>
    <w:rsid w:val="00D51F08"/>
    <w:rsid w:val="00D574CA"/>
    <w:rsid w:val="00D71BC4"/>
    <w:rsid w:val="00D80937"/>
    <w:rsid w:val="00D8311F"/>
    <w:rsid w:val="00D86B36"/>
    <w:rsid w:val="00DA5481"/>
    <w:rsid w:val="00DB1AE5"/>
    <w:rsid w:val="00DB1DE9"/>
    <w:rsid w:val="00DB7073"/>
    <w:rsid w:val="00DD025A"/>
    <w:rsid w:val="00DD0C76"/>
    <w:rsid w:val="00DD2990"/>
    <w:rsid w:val="00DD6ADB"/>
    <w:rsid w:val="00DD7D7A"/>
    <w:rsid w:val="00DE02BD"/>
    <w:rsid w:val="00DE18E2"/>
    <w:rsid w:val="00DE4030"/>
    <w:rsid w:val="00DE61F4"/>
    <w:rsid w:val="00DF5803"/>
    <w:rsid w:val="00E02A4D"/>
    <w:rsid w:val="00E13A45"/>
    <w:rsid w:val="00E51BA5"/>
    <w:rsid w:val="00E63BBD"/>
    <w:rsid w:val="00E72D9C"/>
    <w:rsid w:val="00E7422B"/>
    <w:rsid w:val="00E7516C"/>
    <w:rsid w:val="00E76289"/>
    <w:rsid w:val="00E97C17"/>
    <w:rsid w:val="00EA0237"/>
    <w:rsid w:val="00EA1F3D"/>
    <w:rsid w:val="00EA3809"/>
    <w:rsid w:val="00EB0753"/>
    <w:rsid w:val="00EC11AC"/>
    <w:rsid w:val="00EC1CE0"/>
    <w:rsid w:val="00ED0A0D"/>
    <w:rsid w:val="00ED1719"/>
    <w:rsid w:val="00ED18C0"/>
    <w:rsid w:val="00ED19C6"/>
    <w:rsid w:val="00EF1968"/>
    <w:rsid w:val="00F02326"/>
    <w:rsid w:val="00F03DC0"/>
    <w:rsid w:val="00F06386"/>
    <w:rsid w:val="00F1733F"/>
    <w:rsid w:val="00F2705D"/>
    <w:rsid w:val="00F31783"/>
    <w:rsid w:val="00F422E1"/>
    <w:rsid w:val="00F65E64"/>
    <w:rsid w:val="00F67829"/>
    <w:rsid w:val="00F67BBD"/>
    <w:rsid w:val="00F71F8E"/>
    <w:rsid w:val="00F74762"/>
    <w:rsid w:val="00F75896"/>
    <w:rsid w:val="00F7766A"/>
    <w:rsid w:val="00F8708E"/>
    <w:rsid w:val="00F95133"/>
    <w:rsid w:val="00F9746E"/>
    <w:rsid w:val="00FA2C1D"/>
    <w:rsid w:val="00FA61F5"/>
    <w:rsid w:val="00FB0592"/>
    <w:rsid w:val="00FB139B"/>
    <w:rsid w:val="00FB51BA"/>
    <w:rsid w:val="00FB670B"/>
    <w:rsid w:val="00FC4F8C"/>
    <w:rsid w:val="00FC7E79"/>
    <w:rsid w:val="00FE290A"/>
    <w:rsid w:val="00FF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1D732171"/>
  <w15:docId w15:val="{1EFD1575-A759-41E5-976F-8EE7DC5B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F7"/>
    <w:rPr>
      <w:sz w:val="24"/>
      <w:szCs w:val="24"/>
    </w:rPr>
  </w:style>
  <w:style w:type="paragraph" w:styleId="Heading1">
    <w:name w:val="heading 1"/>
    <w:basedOn w:val="Normal"/>
    <w:next w:val="Normal"/>
    <w:link w:val="Heading1Char"/>
    <w:uiPriority w:val="99"/>
    <w:qFormat/>
    <w:rsid w:val="006F69F7"/>
    <w:pPr>
      <w:keepNext/>
      <w:outlineLvl w:val="0"/>
    </w:pPr>
    <w:rPr>
      <w:b/>
      <w:bCs/>
      <w:sz w:val="20"/>
      <w:szCs w:val="12"/>
    </w:rPr>
  </w:style>
  <w:style w:type="paragraph" w:styleId="Heading2">
    <w:name w:val="heading 2"/>
    <w:basedOn w:val="Normal"/>
    <w:next w:val="Normal"/>
    <w:link w:val="Heading2Char"/>
    <w:uiPriority w:val="99"/>
    <w:qFormat/>
    <w:rsid w:val="006F69F7"/>
    <w:pPr>
      <w:keepNext/>
      <w:outlineLvl w:val="1"/>
    </w:pPr>
    <w:rPr>
      <w:b/>
      <w:bCs/>
      <w:u w:val="single"/>
    </w:rPr>
  </w:style>
  <w:style w:type="paragraph" w:styleId="Heading3">
    <w:name w:val="heading 3"/>
    <w:basedOn w:val="Normal"/>
    <w:next w:val="Normal"/>
    <w:link w:val="Heading3Char"/>
    <w:uiPriority w:val="99"/>
    <w:qFormat/>
    <w:rsid w:val="006F69F7"/>
    <w:pPr>
      <w:keepNext/>
      <w:outlineLvl w:val="2"/>
    </w:pPr>
    <w:rPr>
      <w:b/>
      <w:bCs/>
    </w:rPr>
  </w:style>
  <w:style w:type="paragraph" w:styleId="Heading4">
    <w:name w:val="heading 4"/>
    <w:basedOn w:val="Normal"/>
    <w:next w:val="Normal"/>
    <w:link w:val="Heading4Char"/>
    <w:uiPriority w:val="99"/>
    <w:qFormat/>
    <w:rsid w:val="006F69F7"/>
    <w:pPr>
      <w:keepNext/>
      <w:jc w:val="center"/>
      <w:outlineLvl w:val="3"/>
    </w:pPr>
    <w:rPr>
      <w:b/>
      <w:bCs/>
    </w:rPr>
  </w:style>
  <w:style w:type="paragraph" w:styleId="Heading5">
    <w:name w:val="heading 5"/>
    <w:basedOn w:val="Normal"/>
    <w:next w:val="Normal"/>
    <w:link w:val="Heading5Char"/>
    <w:uiPriority w:val="99"/>
    <w:qFormat/>
    <w:rsid w:val="006F69F7"/>
    <w:pPr>
      <w:keepNext/>
      <w:outlineLvl w:val="4"/>
    </w:pPr>
    <w:rPr>
      <w:b/>
      <w:szCs w:val="20"/>
    </w:rPr>
  </w:style>
  <w:style w:type="paragraph" w:styleId="Heading6">
    <w:name w:val="heading 6"/>
    <w:basedOn w:val="Normal"/>
    <w:next w:val="Normal"/>
    <w:link w:val="Heading6Char"/>
    <w:uiPriority w:val="99"/>
    <w:qFormat/>
    <w:rsid w:val="006F69F7"/>
    <w:pPr>
      <w:keepNext/>
      <w:tabs>
        <w:tab w:val="num" w:pos="0"/>
      </w:tabs>
      <w:jc w:val="center"/>
      <w:outlineLvl w:val="5"/>
    </w:pPr>
    <w:rPr>
      <w:b/>
      <w:szCs w:val="20"/>
    </w:rPr>
  </w:style>
  <w:style w:type="paragraph" w:styleId="Heading7">
    <w:name w:val="heading 7"/>
    <w:basedOn w:val="Normal"/>
    <w:next w:val="Normal"/>
    <w:link w:val="Heading7Char"/>
    <w:uiPriority w:val="99"/>
    <w:qFormat/>
    <w:rsid w:val="006F69F7"/>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Header">
    <w:name w:val="header"/>
    <w:basedOn w:val="Normal"/>
    <w:link w:val="HeaderChar"/>
    <w:uiPriority w:val="99"/>
    <w:rsid w:val="006F69F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F69F7"/>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6F69F7"/>
    <w:pPr>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EmailStyle20">
    <w:name w:val="EmailStyle20"/>
    <w:uiPriority w:val="99"/>
    <w:rsid w:val="006F69F7"/>
    <w:rPr>
      <w:rFonts w:ascii="Arial" w:hAnsi="Arial"/>
      <w:color w:val="000000"/>
      <w:sz w:val="20"/>
    </w:rPr>
  </w:style>
  <w:style w:type="paragraph" w:styleId="NormalWeb">
    <w:name w:val="Normal (Web)"/>
    <w:basedOn w:val="Normal"/>
    <w:uiPriority w:val="99"/>
    <w:rsid w:val="006F69F7"/>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6F69F7"/>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257856"/>
    <w:pPr>
      <w:ind w:left="720"/>
      <w:contextualSpacing/>
    </w:pPr>
  </w:style>
  <w:style w:type="character" w:customStyle="1" w:styleId="apple-converted-space">
    <w:name w:val="apple-converted-space"/>
    <w:basedOn w:val="DefaultParagraphFont"/>
    <w:uiPriority w:val="99"/>
    <w:rsid w:val="000A11D5"/>
    <w:rPr>
      <w:rFonts w:cs="Times New Roman"/>
    </w:rPr>
  </w:style>
  <w:style w:type="character" w:styleId="Emphasis">
    <w:name w:val="Emphasis"/>
    <w:basedOn w:val="DefaultParagraphFont"/>
    <w:uiPriority w:val="99"/>
    <w:qFormat/>
    <w:rsid w:val="000A11D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4223">
      <w:marLeft w:val="0"/>
      <w:marRight w:val="0"/>
      <w:marTop w:val="0"/>
      <w:marBottom w:val="0"/>
      <w:divBdr>
        <w:top w:val="none" w:sz="0" w:space="0" w:color="auto"/>
        <w:left w:val="none" w:sz="0" w:space="0" w:color="auto"/>
        <w:bottom w:val="none" w:sz="0" w:space="0" w:color="auto"/>
        <w:right w:val="none" w:sz="0" w:space="0" w:color="auto"/>
      </w:divBdr>
    </w:div>
    <w:div w:id="499394225">
      <w:marLeft w:val="0"/>
      <w:marRight w:val="0"/>
      <w:marTop w:val="0"/>
      <w:marBottom w:val="0"/>
      <w:divBdr>
        <w:top w:val="none" w:sz="0" w:space="0" w:color="auto"/>
        <w:left w:val="none" w:sz="0" w:space="0" w:color="auto"/>
        <w:bottom w:val="none" w:sz="0" w:space="0" w:color="auto"/>
        <w:right w:val="none" w:sz="0" w:space="0" w:color="auto"/>
      </w:divBdr>
      <w:divsChild>
        <w:div w:id="499394224">
          <w:marLeft w:val="0"/>
          <w:marRight w:val="0"/>
          <w:marTop w:val="0"/>
          <w:marBottom w:val="0"/>
          <w:divBdr>
            <w:top w:val="none" w:sz="0" w:space="0" w:color="auto"/>
            <w:left w:val="none" w:sz="0" w:space="0" w:color="auto"/>
            <w:bottom w:val="none" w:sz="0" w:space="0" w:color="auto"/>
            <w:right w:val="none" w:sz="0" w:space="0" w:color="auto"/>
          </w:divBdr>
        </w:div>
        <w:div w:id="499394227">
          <w:marLeft w:val="0"/>
          <w:marRight w:val="0"/>
          <w:marTop w:val="0"/>
          <w:marBottom w:val="0"/>
          <w:divBdr>
            <w:top w:val="none" w:sz="0" w:space="0" w:color="auto"/>
            <w:left w:val="none" w:sz="0" w:space="0" w:color="auto"/>
            <w:bottom w:val="none" w:sz="0" w:space="0" w:color="auto"/>
            <w:right w:val="none" w:sz="0" w:space="0" w:color="auto"/>
          </w:divBdr>
        </w:div>
      </w:divsChild>
    </w:div>
    <w:div w:id="499394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en.sagepub.com/content/26/1_suppl/1SA.full.pdf+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0704-12E1-4278-AEA6-CE7FD3635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CDC364-450E-4521-8A91-286E01EB344C}">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F877881-E76B-48AC-B4E6-7494366FB9DA}">
  <ds:schemaRefs>
    <ds:schemaRef ds:uri="http://schemas.microsoft.com/sharepoint/v3/contenttype/forms"/>
  </ds:schemaRefs>
</ds:datastoreItem>
</file>

<file path=customXml/itemProps4.xml><?xml version="1.0" encoding="utf-8"?>
<ds:datastoreItem xmlns:ds="http://schemas.openxmlformats.org/officeDocument/2006/customXml" ds:itemID="{CB6B079B-7C2A-4DBB-9A9E-D14C0A17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2016-08-25T21:18:00Z</cp:lastPrinted>
  <dcterms:created xsi:type="dcterms:W3CDTF">2019-04-24T18:51:00Z</dcterms:created>
  <dcterms:modified xsi:type="dcterms:W3CDTF">2019-04-24T18:51:00Z</dcterms:modified>
</cp:coreProperties>
</file>